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ADMINISTRACIÓN DE RIESGOS</w:t>
      </w:r>
    </w:p>
    <w:p w14:paraId="002048E9" w14:textId="77777777" w:rsidR="00CD4481" w:rsidRDefault="00CD4481" w:rsidP="00CD4481">
      <w:pPr>
        <w:spacing w:after="0"/>
        <w:jc w:val="center"/>
        <w:rPr>
          <w:rFonts w:ascii="Verdana" w:hAnsi="Verdana"/>
          <w:b/>
          <w:bCs/>
          <w:sz w:val="20"/>
          <w:szCs w:val="20"/>
        </w:rPr>
      </w:pPr>
    </w:p>
    <w:p w14:paraId="3CCDA678" w14:textId="074F1689"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CAPÍTULO 1</w:t>
      </w:r>
    </w:p>
    <w:p w14:paraId="38781A38" w14:textId="77777777"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SISTEMA INTEGRAL DE ADMINISTRACIÓN DE RIESGOS  </w:t>
      </w:r>
    </w:p>
    <w:p w14:paraId="72929AE6" w14:textId="55B04409"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(SIAR)</w:t>
      </w:r>
    </w:p>
    <w:p w14:paraId="31E2757D" w14:textId="77777777" w:rsidR="00CD4481" w:rsidRDefault="00CD4481" w:rsidP="00CD4481">
      <w:pPr>
        <w:spacing w:after="0"/>
        <w:jc w:val="center"/>
        <w:rPr>
          <w:rFonts w:ascii="Verdana" w:hAnsi="Verdana"/>
          <w:b/>
          <w:bCs/>
          <w:sz w:val="20"/>
          <w:szCs w:val="20"/>
        </w:rPr>
      </w:pPr>
    </w:p>
    <w:p w14:paraId="1F071BFB" w14:textId="7199BC87" w:rsidR="00A64CAA" w:rsidRPr="00CF0120" w:rsidRDefault="00A64CAA" w:rsidP="00CD4481">
      <w:pPr>
        <w:spacing w:after="0"/>
        <w:jc w:val="center"/>
        <w:rPr>
          <w:rFonts w:ascii="Verdana" w:hAnsi="Verdana"/>
          <w:b/>
          <w:bCs/>
          <w:sz w:val="20"/>
          <w:szCs w:val="20"/>
        </w:rPr>
      </w:pPr>
      <w:r w:rsidRPr="00CF0120">
        <w:rPr>
          <w:rFonts w:ascii="Verdana" w:hAnsi="Verdana"/>
          <w:b/>
          <w:bCs/>
          <w:sz w:val="20"/>
          <w:szCs w:val="20"/>
        </w:rPr>
        <w:t xml:space="preserve">ANEXO </w:t>
      </w:r>
      <w:r w:rsidR="00AB06A6">
        <w:rPr>
          <w:rFonts w:ascii="Verdana" w:hAnsi="Verdana"/>
          <w:b/>
          <w:bCs/>
          <w:sz w:val="20"/>
          <w:szCs w:val="20"/>
        </w:rPr>
        <w:t>8</w:t>
      </w:r>
    </w:p>
    <w:p w14:paraId="64395AC3" w14:textId="2CD669EE" w:rsidR="0040787E" w:rsidRPr="00CF0120" w:rsidRDefault="004A6C60" w:rsidP="00CD4481">
      <w:pPr>
        <w:spacing w:after="0"/>
        <w:jc w:val="center"/>
        <w:rPr>
          <w:rFonts w:ascii="Verdana" w:hAnsi="Verdana"/>
          <w:b/>
          <w:bCs/>
          <w:sz w:val="20"/>
          <w:szCs w:val="20"/>
        </w:rPr>
      </w:pPr>
      <w:r w:rsidRPr="004A6C60">
        <w:rPr>
          <w:rFonts w:ascii="Verdana" w:hAnsi="Verdana"/>
          <w:b/>
          <w:sz w:val="20"/>
          <w:szCs w:val="20"/>
        </w:rPr>
        <w:t xml:space="preserve">MODELOS CUANTITATIVOS DE RIESGO DE MERCADO APLICABLE A LAS </w:t>
      </w:r>
      <w:r w:rsidR="00270F01" w:rsidRPr="00270F01">
        <w:rPr>
          <w:rFonts w:ascii="Verdana" w:hAnsi="Verdana"/>
          <w:b/>
          <w:sz w:val="20"/>
          <w:szCs w:val="20"/>
        </w:rPr>
        <w:t>ENTIDADES DE SEGUROS GENERALES RESPECTO DE LAS INVERSIONES QUE</w:t>
      </w:r>
      <w:r w:rsidR="0040787E">
        <w:rPr>
          <w:rFonts w:ascii="Verdana" w:hAnsi="Verdana"/>
          <w:b/>
          <w:sz w:val="20"/>
          <w:szCs w:val="20"/>
        </w:rPr>
        <w:t xml:space="preserve"> </w:t>
      </w:r>
      <w:r w:rsidR="0040787E" w:rsidRPr="009C60D9">
        <w:rPr>
          <w:rFonts w:ascii="Verdana" w:hAnsi="Verdana"/>
          <w:b/>
          <w:sz w:val="20"/>
          <w:szCs w:val="20"/>
        </w:rPr>
        <w:t>RESPALDEN SUS RESERVAS TÉCNICAS</w:t>
      </w:r>
    </w:p>
    <w:p w14:paraId="34FD7863" w14:textId="77777777" w:rsidR="009D6127" w:rsidRDefault="009D6127" w:rsidP="009D6127">
      <w:pPr>
        <w:rPr>
          <w:rFonts w:ascii="Verdana" w:hAnsi="Verdana"/>
          <w:b/>
          <w:bCs/>
          <w:sz w:val="20"/>
          <w:szCs w:val="20"/>
        </w:rPr>
      </w:pPr>
    </w:p>
    <w:p w14:paraId="55A94767" w14:textId="4C831F6C" w:rsidR="00DA0C0E" w:rsidRDefault="00CD4481" w:rsidP="00E33E44">
      <w:pPr>
        <w:jc w:val="both"/>
        <w:rPr>
          <w:rFonts w:ascii="Verdana" w:hAnsi="Verdana"/>
          <w:b/>
          <w:bCs/>
          <w:sz w:val="20"/>
          <w:szCs w:val="20"/>
        </w:rPr>
      </w:pPr>
      <w:r>
        <w:rPr>
          <w:rFonts w:ascii="Verdana" w:hAnsi="Verdana"/>
          <w:b/>
          <w:bCs/>
          <w:sz w:val="20"/>
          <w:szCs w:val="20"/>
        </w:rPr>
        <w:t>CONSIDERACIONES GENERALES</w:t>
      </w:r>
    </w:p>
    <w:p w14:paraId="4D46007E"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p>
    <w:p w14:paraId="118DAECE" w14:textId="4AE574C4"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En el presente </w:t>
      </w:r>
      <w:r w:rsidR="00783AFD">
        <w:rPr>
          <w:rFonts w:ascii="Verdana" w:eastAsia="Times New Roman" w:hAnsi="Verdana" w:cs="Arial"/>
          <w:sz w:val="20"/>
          <w:szCs w:val="20"/>
          <w:lang w:val="es-ES" w:eastAsia="es-ES"/>
        </w:rPr>
        <w:t>a</w:t>
      </w:r>
      <w:r w:rsidRPr="009C60D9">
        <w:rPr>
          <w:rFonts w:ascii="Verdana" w:eastAsia="Times New Roman" w:hAnsi="Verdana" w:cs="Arial"/>
          <w:sz w:val="20"/>
          <w:szCs w:val="20"/>
          <w:lang w:val="es-ES" w:eastAsia="es-ES"/>
        </w:rPr>
        <w:t>nexo se establece el modelo estándar para la medición de</w:t>
      </w:r>
      <w:r w:rsidR="00A8140E">
        <w:rPr>
          <w:rFonts w:ascii="Verdana" w:eastAsia="Times New Roman" w:hAnsi="Verdana" w:cs="Arial"/>
          <w:sz w:val="20"/>
          <w:szCs w:val="20"/>
          <w:lang w:val="es-ES" w:eastAsia="es-ES"/>
        </w:rPr>
        <w:t>l</w:t>
      </w:r>
      <w:r w:rsidRPr="009C60D9">
        <w:rPr>
          <w:rFonts w:ascii="Verdana" w:eastAsia="Times New Roman" w:hAnsi="Verdana" w:cs="Arial"/>
          <w:sz w:val="20"/>
          <w:szCs w:val="20"/>
          <w:lang w:val="es-ES" w:eastAsia="es-ES"/>
        </w:rPr>
        <w:t xml:space="preserve"> riesgo de mercado que deben emplear</w:t>
      </w:r>
      <w:r w:rsidRPr="009C60D9">
        <w:rPr>
          <w:rFonts w:ascii="Verdana" w:hAnsi="Verdana" w:cs="Arial"/>
          <w:sz w:val="20"/>
          <w:szCs w:val="20"/>
        </w:rPr>
        <w:t xml:space="preserve"> </w:t>
      </w:r>
      <w:r w:rsidRPr="009C60D9">
        <w:rPr>
          <w:rFonts w:ascii="Verdana" w:eastAsia="Times New Roman" w:hAnsi="Verdana" w:cs="Arial"/>
          <w:sz w:val="20"/>
          <w:szCs w:val="20"/>
          <w:lang w:val="es-ES" w:eastAsia="es-ES"/>
        </w:rPr>
        <w:t>las entidades de seguros generales para las inversiones que respald</w:t>
      </w:r>
      <w:r w:rsidR="00A8140E">
        <w:rPr>
          <w:rFonts w:ascii="Verdana" w:eastAsia="Times New Roman" w:hAnsi="Verdana" w:cs="Arial"/>
          <w:sz w:val="20"/>
          <w:szCs w:val="20"/>
          <w:lang w:val="es-ES" w:eastAsia="es-ES"/>
        </w:rPr>
        <w:t>a</w:t>
      </w:r>
      <w:r w:rsidRPr="009C60D9">
        <w:rPr>
          <w:rFonts w:ascii="Verdana" w:eastAsia="Times New Roman" w:hAnsi="Verdana" w:cs="Arial"/>
          <w:sz w:val="20"/>
          <w:szCs w:val="20"/>
          <w:lang w:val="es-ES" w:eastAsia="es-ES"/>
        </w:rPr>
        <w:t>n sus reservas técnicas.</w:t>
      </w:r>
    </w:p>
    <w:p w14:paraId="0377C94A"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1B074444" w14:textId="4463D69C" w:rsidR="00A83C87" w:rsidRDefault="00CD4481" w:rsidP="002B6AA3">
      <w:pPr>
        <w:jc w:val="both"/>
        <w:rPr>
          <w:rFonts w:ascii="Verdana" w:eastAsia="Times New Roman" w:hAnsi="Verdana" w:cs="Arial"/>
          <w:b/>
          <w:sz w:val="20"/>
          <w:szCs w:val="20"/>
          <w:lang w:val="es-ES" w:eastAsia="es-ES"/>
        </w:rPr>
      </w:pPr>
      <w:r w:rsidRPr="000017F7">
        <w:rPr>
          <w:rFonts w:ascii="Verdana" w:hAnsi="Verdana"/>
          <w:b/>
          <w:bCs/>
          <w:sz w:val="20"/>
          <w:szCs w:val="20"/>
        </w:rPr>
        <w:t>METODOLOGÍA ESTÁNDAR DE MEDICIÓN</w:t>
      </w:r>
    </w:p>
    <w:p w14:paraId="00D2B7CE"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Pr="000E0B7B">
        <w:rPr>
          <w:rFonts w:ascii="Verdana" w:hAnsi="Verdana"/>
          <w:sz w:val="20"/>
          <w:szCs w:val="20"/>
        </w:rPr>
        <w:t>.</w:t>
      </w:r>
    </w:p>
    <w:p w14:paraId="2EE1F7CF" w14:textId="77777777"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 metodología estandarizada se compone de un modelo de factores de riesgo que se calculan separadamente y son los siguientes:</w:t>
      </w:r>
    </w:p>
    <w:p w14:paraId="2DEC8CDA"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6E46591" w14:textId="77777777" w:rsidR="00A83C87" w:rsidRPr="00421704" w:rsidRDefault="00A83C87" w:rsidP="000017F7">
      <w:pPr>
        <w:pStyle w:val="Prrafodelista"/>
        <w:numPr>
          <w:ilvl w:val="0"/>
          <w:numId w:val="4"/>
        </w:numPr>
        <w:spacing w:after="0" w:line="240" w:lineRule="auto"/>
        <w:ind w:left="567" w:hanging="567"/>
        <w:jc w:val="both"/>
        <w:rPr>
          <w:rFonts w:ascii="Verdana" w:eastAsia="Times New Roman" w:hAnsi="Verdana" w:cs="Arial"/>
          <w:sz w:val="20"/>
          <w:szCs w:val="20"/>
          <w:lang w:val="es-ES" w:eastAsia="es-ES"/>
        </w:rPr>
      </w:pPr>
      <w:r w:rsidRPr="00421704">
        <w:rPr>
          <w:rFonts w:ascii="Verdana" w:eastAsia="Times New Roman" w:hAnsi="Verdana" w:cs="Arial"/>
          <w:sz w:val="20"/>
          <w:szCs w:val="20"/>
          <w:lang w:val="es-ES" w:eastAsia="es-ES"/>
        </w:rPr>
        <w:t>Riesgo de tasa de interés.</w:t>
      </w:r>
    </w:p>
    <w:p w14:paraId="6B0CB6D3" w14:textId="77777777" w:rsidR="00CD4481" w:rsidRDefault="00CD4481" w:rsidP="00CD4481">
      <w:pPr>
        <w:pStyle w:val="Prrafodelista"/>
        <w:spacing w:after="0" w:line="240" w:lineRule="auto"/>
        <w:ind w:left="567"/>
        <w:jc w:val="both"/>
        <w:rPr>
          <w:rFonts w:ascii="Verdana" w:eastAsia="Times New Roman" w:hAnsi="Verdana" w:cs="Arial"/>
          <w:sz w:val="20"/>
          <w:szCs w:val="20"/>
          <w:lang w:val="es-ES" w:eastAsia="es-ES"/>
        </w:rPr>
      </w:pPr>
    </w:p>
    <w:p w14:paraId="4DBB7C33" w14:textId="77777777" w:rsidR="00CD4481" w:rsidRDefault="00A83C87" w:rsidP="00CD4481">
      <w:pPr>
        <w:pStyle w:val="Prrafodelista"/>
        <w:numPr>
          <w:ilvl w:val="0"/>
          <w:numId w:val="4"/>
        </w:numPr>
        <w:spacing w:after="0" w:line="240" w:lineRule="auto"/>
        <w:ind w:left="567" w:hanging="567"/>
        <w:jc w:val="both"/>
        <w:rPr>
          <w:rFonts w:ascii="Verdana" w:eastAsia="Times New Roman" w:hAnsi="Verdana" w:cs="Arial"/>
          <w:sz w:val="20"/>
          <w:szCs w:val="20"/>
          <w:lang w:val="es-ES" w:eastAsia="es-ES"/>
        </w:rPr>
      </w:pPr>
      <w:r w:rsidRPr="00421704">
        <w:rPr>
          <w:rFonts w:ascii="Verdana" w:eastAsia="Times New Roman" w:hAnsi="Verdana" w:cs="Arial"/>
          <w:sz w:val="20"/>
          <w:szCs w:val="20"/>
          <w:lang w:val="es-ES" w:eastAsia="es-ES"/>
        </w:rPr>
        <w:t>Riesgo de tasa de cambio.</w:t>
      </w:r>
    </w:p>
    <w:p w14:paraId="2C988473" w14:textId="77777777" w:rsidR="00CD4481" w:rsidRPr="00CD4481" w:rsidRDefault="00CD4481" w:rsidP="00CD4481">
      <w:pPr>
        <w:pStyle w:val="Prrafodelista"/>
        <w:rPr>
          <w:rFonts w:ascii="Verdana" w:eastAsia="Times New Roman" w:hAnsi="Verdana" w:cs="Arial"/>
          <w:sz w:val="20"/>
          <w:szCs w:val="20"/>
          <w:lang w:val="es-ES" w:eastAsia="es-ES"/>
        </w:rPr>
      </w:pPr>
    </w:p>
    <w:p w14:paraId="00533A1D" w14:textId="77777777" w:rsidR="00CD4481" w:rsidRDefault="00A83C87" w:rsidP="00CD4481">
      <w:pPr>
        <w:pStyle w:val="Prrafodelista"/>
        <w:numPr>
          <w:ilvl w:val="0"/>
          <w:numId w:val="4"/>
        </w:numPr>
        <w:spacing w:after="0" w:line="240" w:lineRule="auto"/>
        <w:ind w:left="567" w:hanging="567"/>
        <w:jc w:val="both"/>
        <w:rPr>
          <w:rFonts w:ascii="Verdana" w:eastAsia="Times New Roman" w:hAnsi="Verdana" w:cs="Arial"/>
          <w:sz w:val="20"/>
          <w:szCs w:val="20"/>
          <w:lang w:val="es-ES" w:eastAsia="es-ES"/>
        </w:rPr>
      </w:pPr>
      <w:r w:rsidRPr="00CD4481">
        <w:rPr>
          <w:rFonts w:ascii="Verdana" w:eastAsia="Times New Roman" w:hAnsi="Verdana" w:cs="Arial"/>
          <w:sz w:val="20"/>
          <w:szCs w:val="20"/>
          <w:lang w:val="es-ES" w:eastAsia="es-ES"/>
        </w:rPr>
        <w:t>Riesgo de precio de acciones.</w:t>
      </w:r>
    </w:p>
    <w:p w14:paraId="13E92150" w14:textId="77777777" w:rsidR="00CD4481" w:rsidRPr="00CD4481" w:rsidRDefault="00CD4481" w:rsidP="00CD4481">
      <w:pPr>
        <w:pStyle w:val="Prrafodelista"/>
        <w:rPr>
          <w:rFonts w:ascii="Verdana" w:eastAsia="Times New Roman" w:hAnsi="Verdana" w:cs="Arial"/>
          <w:sz w:val="20"/>
          <w:szCs w:val="20"/>
          <w:lang w:val="es-ES" w:eastAsia="es-ES"/>
        </w:rPr>
      </w:pPr>
    </w:p>
    <w:p w14:paraId="0158804D" w14:textId="53ED48E7" w:rsidR="00CD4481" w:rsidRDefault="00A83C87" w:rsidP="00CD4481">
      <w:pPr>
        <w:pStyle w:val="Prrafodelista"/>
        <w:numPr>
          <w:ilvl w:val="0"/>
          <w:numId w:val="4"/>
        </w:numPr>
        <w:spacing w:after="0" w:line="240" w:lineRule="auto"/>
        <w:ind w:left="567" w:hanging="567"/>
        <w:jc w:val="both"/>
        <w:rPr>
          <w:rFonts w:ascii="Verdana" w:eastAsia="Times New Roman" w:hAnsi="Verdana" w:cs="Arial"/>
          <w:sz w:val="20"/>
          <w:szCs w:val="20"/>
          <w:lang w:val="es-ES" w:eastAsia="es-ES"/>
        </w:rPr>
      </w:pPr>
      <w:r w:rsidRPr="00CD4481">
        <w:rPr>
          <w:rFonts w:ascii="Verdana" w:eastAsia="Times New Roman" w:hAnsi="Verdana" w:cs="Arial"/>
          <w:sz w:val="20"/>
          <w:szCs w:val="20"/>
          <w:lang w:val="es-ES" w:eastAsia="es-ES"/>
        </w:rPr>
        <w:t>Riesgo de FIC.</w:t>
      </w:r>
    </w:p>
    <w:p w14:paraId="3B3EBF79" w14:textId="77777777" w:rsidR="00CD4481" w:rsidRPr="00CD4481" w:rsidRDefault="00CD4481" w:rsidP="00CD4481">
      <w:pPr>
        <w:pStyle w:val="Prrafodelista"/>
        <w:rPr>
          <w:rFonts w:ascii="Verdana" w:eastAsia="Times New Roman" w:hAnsi="Verdana" w:cs="Arial"/>
          <w:sz w:val="20"/>
          <w:szCs w:val="20"/>
          <w:lang w:val="es-ES" w:eastAsia="es-ES"/>
        </w:rPr>
      </w:pPr>
    </w:p>
    <w:p w14:paraId="499840D1" w14:textId="1F364DEF" w:rsidR="00A83C87" w:rsidRPr="00CD4481" w:rsidRDefault="00A83C87" w:rsidP="00CD4481">
      <w:pPr>
        <w:pStyle w:val="Prrafodelista"/>
        <w:numPr>
          <w:ilvl w:val="0"/>
          <w:numId w:val="4"/>
        </w:numPr>
        <w:spacing w:after="0" w:line="240" w:lineRule="auto"/>
        <w:ind w:left="567" w:hanging="567"/>
        <w:jc w:val="both"/>
        <w:rPr>
          <w:rFonts w:ascii="Verdana" w:eastAsia="Times New Roman" w:hAnsi="Verdana" w:cs="Arial"/>
          <w:sz w:val="20"/>
          <w:szCs w:val="20"/>
          <w:lang w:val="es-ES" w:eastAsia="es-ES"/>
        </w:rPr>
      </w:pPr>
      <w:r w:rsidRPr="00CD4481">
        <w:rPr>
          <w:rFonts w:ascii="Verdana" w:eastAsia="Times New Roman" w:hAnsi="Verdana" w:cs="Arial"/>
          <w:sz w:val="20"/>
          <w:szCs w:val="20"/>
          <w:lang w:val="es-ES" w:eastAsia="es-ES"/>
        </w:rPr>
        <w:t>Riesgo de derivados de crédito.</w:t>
      </w:r>
    </w:p>
    <w:p w14:paraId="765CA727"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5B856998"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Pr="000E0B7B">
        <w:rPr>
          <w:rFonts w:ascii="Verdana" w:hAnsi="Verdana"/>
          <w:sz w:val="20"/>
          <w:szCs w:val="20"/>
        </w:rPr>
        <w:t>.</w:t>
      </w:r>
    </w:p>
    <w:p w14:paraId="2830D1C0" w14:textId="12F90056"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obtener la exposición total a</w:t>
      </w:r>
      <w:r w:rsidR="009C14B0">
        <w:rPr>
          <w:rFonts w:ascii="Verdana" w:eastAsia="Times New Roman" w:hAnsi="Verdana" w:cs="Arial"/>
          <w:sz w:val="20"/>
          <w:szCs w:val="20"/>
          <w:lang w:val="es-ES" w:eastAsia="es-ES"/>
        </w:rPr>
        <w:t>l</w:t>
      </w:r>
      <w:r w:rsidRPr="009C60D9">
        <w:rPr>
          <w:rFonts w:ascii="Verdana" w:eastAsia="Times New Roman" w:hAnsi="Verdana" w:cs="Arial"/>
          <w:sz w:val="20"/>
          <w:szCs w:val="20"/>
          <w:lang w:val="es-ES" w:eastAsia="es-ES"/>
        </w:rPr>
        <w:t xml:space="preserve"> riesgo de mercado los resultados de estos módulos se deben agregar aritméticamente.</w:t>
      </w:r>
    </w:p>
    <w:p w14:paraId="73EB6AF2" w14:textId="77777777" w:rsidR="00A83C87" w:rsidRDefault="00A83C87" w:rsidP="00A83C87">
      <w:pPr>
        <w:spacing w:after="0"/>
        <w:rPr>
          <w:rFonts w:ascii="Verdana" w:hAnsi="Verdana"/>
          <w:sz w:val="20"/>
          <w:szCs w:val="20"/>
        </w:rPr>
      </w:pPr>
    </w:p>
    <w:p w14:paraId="2972A899"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4</w:t>
      </w:r>
      <w:r w:rsidRPr="000E0B7B">
        <w:rPr>
          <w:rFonts w:ascii="Verdana" w:hAnsi="Verdana"/>
          <w:sz w:val="20"/>
          <w:szCs w:val="20"/>
        </w:rPr>
        <w:t>.</w:t>
      </w:r>
    </w:p>
    <w:p w14:paraId="2EBAB19A" w14:textId="50C684F8" w:rsidR="00A83C87" w:rsidRPr="009C60D9" w:rsidRDefault="00A83C87" w:rsidP="00A83C87">
      <w:pPr>
        <w:spacing w:after="0" w:line="240" w:lineRule="auto"/>
        <w:contextualSpacing/>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los módulos de tasa de interés y de acciones, se </w:t>
      </w:r>
      <w:r w:rsidR="009C14B0">
        <w:rPr>
          <w:rFonts w:ascii="Verdana" w:eastAsia="Times New Roman" w:hAnsi="Verdana" w:cs="Arial"/>
          <w:sz w:val="20"/>
          <w:szCs w:val="20"/>
          <w:lang w:val="es-ES" w:eastAsia="es-ES"/>
        </w:rPr>
        <w:t>debe</w:t>
      </w:r>
      <w:r w:rsidR="0034474B">
        <w:rPr>
          <w:rFonts w:ascii="Verdana" w:eastAsia="Times New Roman" w:hAnsi="Verdana" w:cs="Arial"/>
          <w:sz w:val="20"/>
          <w:szCs w:val="20"/>
          <w:lang w:val="es-ES" w:eastAsia="es-ES"/>
        </w:rPr>
        <w:t>n</w:t>
      </w:r>
      <w:r w:rsidR="009C14B0">
        <w:rPr>
          <w:rFonts w:ascii="Verdana" w:eastAsia="Times New Roman" w:hAnsi="Verdana" w:cs="Arial"/>
          <w:sz w:val="20"/>
          <w:szCs w:val="20"/>
          <w:lang w:val="es-ES" w:eastAsia="es-ES"/>
        </w:rPr>
        <w:t xml:space="preserve"> </w:t>
      </w:r>
      <w:r w:rsidR="0034474B">
        <w:rPr>
          <w:rFonts w:ascii="Verdana" w:eastAsia="Times New Roman" w:hAnsi="Verdana" w:cs="Arial"/>
          <w:sz w:val="20"/>
          <w:szCs w:val="20"/>
          <w:lang w:val="es-ES" w:eastAsia="es-ES"/>
        </w:rPr>
        <w:t xml:space="preserve">considerar </w:t>
      </w:r>
      <w:r w:rsidRPr="009C60D9">
        <w:rPr>
          <w:rFonts w:ascii="Verdana" w:eastAsia="Times New Roman" w:hAnsi="Verdana" w:cs="Arial"/>
          <w:sz w:val="20"/>
          <w:szCs w:val="20"/>
          <w:lang w:val="es-ES" w:eastAsia="es-ES"/>
        </w:rPr>
        <w:t xml:space="preserve">las posiciones del libro de tesorería. En el caso del módulo de tasa de cambio se </w:t>
      </w:r>
      <w:r w:rsidR="0034474B">
        <w:rPr>
          <w:rFonts w:ascii="Verdana" w:eastAsia="Times New Roman" w:hAnsi="Verdana" w:cs="Arial"/>
          <w:sz w:val="20"/>
          <w:szCs w:val="20"/>
          <w:lang w:val="es-ES" w:eastAsia="es-ES"/>
        </w:rPr>
        <w:t xml:space="preserve">deben </w:t>
      </w:r>
      <w:r w:rsidRPr="009C60D9">
        <w:rPr>
          <w:rFonts w:ascii="Verdana" w:eastAsia="Times New Roman" w:hAnsi="Verdana" w:cs="Arial"/>
          <w:sz w:val="20"/>
          <w:szCs w:val="20"/>
          <w:lang w:val="es-ES" w:eastAsia="es-ES"/>
        </w:rPr>
        <w:t>inclu</w:t>
      </w:r>
      <w:r w:rsidR="0034474B">
        <w:rPr>
          <w:rFonts w:ascii="Verdana" w:eastAsia="Times New Roman" w:hAnsi="Verdana" w:cs="Arial"/>
          <w:sz w:val="20"/>
          <w:szCs w:val="20"/>
          <w:lang w:val="es-ES" w:eastAsia="es-ES"/>
        </w:rPr>
        <w:t xml:space="preserve">ir </w:t>
      </w:r>
      <w:r w:rsidRPr="009C60D9">
        <w:rPr>
          <w:rFonts w:ascii="Verdana" w:eastAsia="Times New Roman" w:hAnsi="Verdana" w:cs="Arial"/>
          <w:sz w:val="20"/>
          <w:szCs w:val="20"/>
          <w:lang w:val="es-ES" w:eastAsia="es-ES"/>
        </w:rPr>
        <w:t>también las posiciones del libro bancario.</w:t>
      </w:r>
    </w:p>
    <w:p w14:paraId="4B3C2761" w14:textId="77777777" w:rsidR="00A83C87" w:rsidRDefault="00A83C87" w:rsidP="00A83C87">
      <w:pPr>
        <w:spacing w:after="0" w:line="240" w:lineRule="auto"/>
        <w:contextualSpacing/>
        <w:jc w:val="both"/>
        <w:rPr>
          <w:rFonts w:ascii="Verdana" w:eastAsia="Times New Roman" w:hAnsi="Verdana" w:cs="Arial"/>
          <w:sz w:val="20"/>
          <w:szCs w:val="20"/>
          <w:lang w:val="es-ES" w:eastAsia="es-ES"/>
        </w:rPr>
      </w:pPr>
    </w:p>
    <w:p w14:paraId="173EF803" w14:textId="093CFAB4" w:rsidR="00A83C87" w:rsidRDefault="00A83C87" w:rsidP="002B6AA3">
      <w:pPr>
        <w:jc w:val="both"/>
        <w:rPr>
          <w:rFonts w:ascii="Verdana" w:eastAsia="Times New Roman" w:hAnsi="Verdana" w:cs="Arial"/>
          <w:b/>
          <w:sz w:val="20"/>
          <w:szCs w:val="20"/>
          <w:lang w:val="es-MX" w:eastAsia="es-ES"/>
        </w:rPr>
      </w:pPr>
      <w:r w:rsidRPr="000017F7">
        <w:rPr>
          <w:rFonts w:ascii="Verdana" w:hAnsi="Verdana"/>
          <w:b/>
          <w:bCs/>
          <w:sz w:val="20"/>
          <w:szCs w:val="20"/>
        </w:rPr>
        <w:t>Tratamiento de las posiciones en derivados y otras operaciones</w:t>
      </w:r>
    </w:p>
    <w:p w14:paraId="65BD4502"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5</w:t>
      </w:r>
      <w:r w:rsidRPr="000E0B7B">
        <w:rPr>
          <w:rFonts w:ascii="Verdana" w:hAnsi="Verdana"/>
          <w:sz w:val="20"/>
          <w:szCs w:val="20"/>
        </w:rPr>
        <w:t>.</w:t>
      </w:r>
    </w:p>
    <w:p w14:paraId="290D473A" w14:textId="67627849"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Las posiciones en instrumentos derivados y en operaciones de repo o reporto, en operaciones simultáneas y en operaciones de transferencia temporal de valores </w:t>
      </w:r>
      <w:r w:rsidR="0034474B">
        <w:rPr>
          <w:rFonts w:ascii="Verdana" w:eastAsia="Times New Roman" w:hAnsi="Verdana" w:cs="Arial"/>
          <w:sz w:val="20"/>
          <w:szCs w:val="20"/>
          <w:lang w:val="es-ES" w:eastAsia="es-ES"/>
        </w:rPr>
        <w:t xml:space="preserve">se </w:t>
      </w:r>
      <w:proofErr w:type="gramStart"/>
      <w:r w:rsidR="0034474B">
        <w:rPr>
          <w:rFonts w:ascii="Verdana" w:eastAsia="Times New Roman" w:hAnsi="Verdana" w:cs="Arial"/>
          <w:sz w:val="20"/>
          <w:szCs w:val="20"/>
          <w:lang w:val="es-ES" w:eastAsia="es-ES"/>
        </w:rPr>
        <w:t xml:space="preserve">deben </w:t>
      </w:r>
      <w:r w:rsidRPr="009C60D9">
        <w:rPr>
          <w:rFonts w:ascii="Verdana" w:eastAsia="Times New Roman" w:hAnsi="Verdana" w:cs="Arial"/>
          <w:sz w:val="20"/>
          <w:szCs w:val="20"/>
          <w:lang w:val="es-ES" w:eastAsia="es-ES"/>
        </w:rPr>
        <w:t xml:space="preserve"> ten</w:t>
      </w:r>
      <w:r w:rsidR="006653F4">
        <w:rPr>
          <w:rFonts w:ascii="Verdana" w:eastAsia="Times New Roman" w:hAnsi="Verdana" w:cs="Arial"/>
          <w:sz w:val="20"/>
          <w:szCs w:val="20"/>
          <w:lang w:val="es-ES" w:eastAsia="es-ES"/>
        </w:rPr>
        <w:t>er</w:t>
      </w:r>
      <w:proofErr w:type="gramEnd"/>
      <w:r w:rsidR="006653F4">
        <w:rPr>
          <w:rFonts w:ascii="Verdana" w:eastAsia="Times New Roman" w:hAnsi="Verdana" w:cs="Arial"/>
          <w:sz w:val="20"/>
          <w:szCs w:val="20"/>
          <w:lang w:val="es-ES" w:eastAsia="es-ES"/>
        </w:rPr>
        <w:t xml:space="preserve"> </w:t>
      </w:r>
      <w:r w:rsidRPr="009C60D9">
        <w:rPr>
          <w:rFonts w:ascii="Verdana" w:eastAsia="Times New Roman" w:hAnsi="Verdana" w:cs="Arial"/>
          <w:sz w:val="20"/>
          <w:szCs w:val="20"/>
          <w:lang w:val="es-ES" w:eastAsia="es-ES"/>
        </w:rPr>
        <w:t>en cuenta para el cálculo de los requerimientos de capital en cada uno de los módulos de acuerdo con las condiciones señaladas a continuación.</w:t>
      </w:r>
    </w:p>
    <w:p w14:paraId="7D724C5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0A913F6" w14:textId="280A60B2" w:rsidR="00A83C87" w:rsidRPr="00CD4481" w:rsidRDefault="00A83C87" w:rsidP="00CD4481">
      <w:pPr>
        <w:pStyle w:val="Prrafodelista"/>
        <w:numPr>
          <w:ilvl w:val="0"/>
          <w:numId w:val="27"/>
        </w:numPr>
        <w:ind w:left="284" w:hanging="284"/>
        <w:jc w:val="both"/>
        <w:rPr>
          <w:rFonts w:ascii="Verdana" w:eastAsia="Times New Roman" w:hAnsi="Verdana" w:cs="Arial"/>
          <w:sz w:val="20"/>
          <w:szCs w:val="20"/>
          <w:lang w:val="es-ES" w:eastAsia="es-ES"/>
        </w:rPr>
      </w:pPr>
      <w:r w:rsidRPr="00CD4481">
        <w:rPr>
          <w:rFonts w:ascii="Verdana" w:hAnsi="Verdana"/>
          <w:b/>
          <w:bCs/>
          <w:sz w:val="20"/>
          <w:szCs w:val="20"/>
        </w:rPr>
        <w:t xml:space="preserve">Posiciones en </w:t>
      </w:r>
      <w:r w:rsidR="00CD4481" w:rsidRPr="00CD4481">
        <w:rPr>
          <w:rFonts w:ascii="Verdana" w:hAnsi="Verdana"/>
          <w:b/>
          <w:bCs/>
          <w:sz w:val="20"/>
          <w:szCs w:val="20"/>
        </w:rPr>
        <w:t>d</w:t>
      </w:r>
      <w:r w:rsidRPr="00CD4481">
        <w:rPr>
          <w:rFonts w:ascii="Verdana" w:hAnsi="Verdana"/>
          <w:b/>
          <w:bCs/>
          <w:sz w:val="20"/>
          <w:szCs w:val="20"/>
        </w:rPr>
        <w:t>erivados</w:t>
      </w:r>
    </w:p>
    <w:p w14:paraId="316F96F0"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6</w:t>
      </w:r>
      <w:r w:rsidRPr="000E0B7B">
        <w:rPr>
          <w:rFonts w:ascii="Verdana" w:hAnsi="Verdana"/>
          <w:sz w:val="20"/>
          <w:szCs w:val="20"/>
        </w:rPr>
        <w:t>.</w:t>
      </w:r>
    </w:p>
    <w:p w14:paraId="20FE5579" w14:textId="0908DDEF"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su inclusión en los cálculos del cargo de capital, los instrumentos derivados deben ser convertidos en posiciones de los instrumentos subyacentes correspondientes. Los montos reportados corresponderán al valor de mercado de las posiciones nocionales reportadas. A continuación, se presentan </w:t>
      </w:r>
      <w:r w:rsidR="00012111">
        <w:rPr>
          <w:rFonts w:ascii="Verdana" w:eastAsia="Times New Roman" w:hAnsi="Verdana" w:cs="Arial"/>
          <w:sz w:val="20"/>
          <w:szCs w:val="20"/>
          <w:lang w:val="es-ES" w:eastAsia="es-ES"/>
        </w:rPr>
        <w:t xml:space="preserve">las </w:t>
      </w:r>
      <w:r w:rsidRPr="009C60D9">
        <w:rPr>
          <w:rFonts w:ascii="Verdana" w:eastAsia="Times New Roman" w:hAnsi="Verdana" w:cs="Arial"/>
          <w:sz w:val="20"/>
          <w:szCs w:val="20"/>
          <w:lang w:val="es-ES" w:eastAsia="es-ES"/>
        </w:rPr>
        <w:t>instrucciones referentes al tratamiento de algunos instrumentos específicos.</w:t>
      </w:r>
    </w:p>
    <w:p w14:paraId="5821C617"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B4A302D" w14:textId="15E7109B" w:rsidR="00A83C87" w:rsidRPr="00BE60EE" w:rsidRDefault="00A83C87" w:rsidP="00BE60EE">
      <w:pPr>
        <w:pStyle w:val="Prrafodelista"/>
        <w:numPr>
          <w:ilvl w:val="0"/>
          <w:numId w:val="28"/>
        </w:numPr>
        <w:ind w:left="567" w:hanging="283"/>
        <w:jc w:val="both"/>
        <w:rPr>
          <w:rFonts w:ascii="Verdana" w:eastAsia="Times New Roman" w:hAnsi="Verdana" w:cs="Arial"/>
          <w:sz w:val="20"/>
          <w:szCs w:val="20"/>
          <w:lang w:val="es-ES" w:eastAsia="es-ES"/>
        </w:rPr>
      </w:pPr>
      <w:r w:rsidRPr="00BE60EE">
        <w:rPr>
          <w:rFonts w:ascii="Verdana" w:hAnsi="Verdana"/>
          <w:b/>
          <w:bCs/>
          <w:sz w:val="20"/>
          <w:szCs w:val="20"/>
        </w:rPr>
        <w:t xml:space="preserve">Futuros y </w:t>
      </w:r>
      <w:r w:rsidR="00BE60EE" w:rsidRPr="00BE60EE">
        <w:rPr>
          <w:rFonts w:ascii="Verdana" w:hAnsi="Verdana"/>
          <w:b/>
          <w:bCs/>
          <w:sz w:val="20"/>
          <w:szCs w:val="20"/>
        </w:rPr>
        <w:t>f</w:t>
      </w:r>
      <w:r w:rsidRPr="00BE60EE">
        <w:rPr>
          <w:rFonts w:ascii="Verdana" w:hAnsi="Verdana"/>
          <w:b/>
          <w:bCs/>
          <w:sz w:val="20"/>
          <w:szCs w:val="20"/>
        </w:rPr>
        <w:t>orwards sobre tasa de interés</w:t>
      </w:r>
    </w:p>
    <w:p w14:paraId="2826FE26"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7</w:t>
      </w:r>
      <w:r w:rsidRPr="000E0B7B">
        <w:rPr>
          <w:rFonts w:ascii="Verdana" w:hAnsi="Verdana"/>
          <w:sz w:val="20"/>
          <w:szCs w:val="20"/>
        </w:rPr>
        <w:t>.</w:t>
      </w:r>
    </w:p>
    <w:p w14:paraId="7AF0BC70" w14:textId="77777777"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Estos instrumentos deberán ser tratados como 2 posiciones nocionales en bonos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w:t>
      </w:r>
    </w:p>
    <w:p w14:paraId="0079FD37"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38234D59" w14:textId="77777777" w:rsidR="002C3255" w:rsidRDefault="002C3255" w:rsidP="00A83C87">
      <w:pPr>
        <w:spacing w:after="0" w:line="240" w:lineRule="auto"/>
        <w:jc w:val="both"/>
        <w:rPr>
          <w:rFonts w:ascii="Verdana" w:eastAsia="Times New Roman" w:hAnsi="Verdana" w:cs="Arial"/>
          <w:sz w:val="20"/>
          <w:szCs w:val="20"/>
          <w:lang w:val="es-ES" w:eastAsia="es-ES"/>
        </w:rPr>
      </w:pPr>
    </w:p>
    <w:p w14:paraId="62F3E971" w14:textId="77777777" w:rsidR="00A83C87" w:rsidRPr="000E0B7B" w:rsidRDefault="00A83C87" w:rsidP="00A83C87">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8</w:t>
      </w:r>
      <w:r w:rsidRPr="000E0B7B">
        <w:rPr>
          <w:rFonts w:ascii="Verdana" w:hAnsi="Verdana"/>
          <w:sz w:val="20"/>
          <w:szCs w:val="20"/>
        </w:rPr>
        <w:t>.</w:t>
      </w:r>
    </w:p>
    <w:p w14:paraId="424F7250"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Cuando la entidad vigilada vende un futuro sobre una tasa de interés o compra un forward sobre tasa de interés, es decir, que se compromete a pagar una tasa de interés durante un periodo de tiempo en el futuro, esta posición se descompone en:</w:t>
      </w:r>
    </w:p>
    <w:p w14:paraId="7CE1395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7615CA6" w14:textId="77777777" w:rsidR="00A83C87" w:rsidRPr="009C60D9" w:rsidRDefault="00A83C87" w:rsidP="000017F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Una posición nocional corta en un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con madurez residual igual al tiempo que resta hasta el inicio del contrato más el periodo efectivo de pago de la tasa de interés.</w:t>
      </w:r>
    </w:p>
    <w:p w14:paraId="1D2C465E"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46943381" w14:textId="77777777" w:rsidR="00A83C87" w:rsidRPr="009C60D9" w:rsidRDefault="00A83C87" w:rsidP="000017F7">
      <w:pPr>
        <w:pStyle w:val="Prrafodelista"/>
        <w:numPr>
          <w:ilvl w:val="0"/>
          <w:numId w:val="5"/>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Una posición nocional larga en un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con madurez residual igual al tiempo que resta hasta el inicio del contrato.</w:t>
      </w:r>
    </w:p>
    <w:p w14:paraId="3E88ADE9" w14:textId="77777777" w:rsidR="00A83C87"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1C849984"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9</w:t>
      </w:r>
      <w:r w:rsidRPr="000E0B7B">
        <w:rPr>
          <w:rFonts w:ascii="Verdana" w:hAnsi="Verdana"/>
          <w:sz w:val="20"/>
          <w:szCs w:val="20"/>
        </w:rPr>
        <w:t>.</w:t>
      </w:r>
    </w:p>
    <w:p w14:paraId="2602169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el caso contrario (la entidad compra un futuro o vende un FRA), la primera posición nocional descrita es larga y la segunda corta.</w:t>
      </w:r>
    </w:p>
    <w:p w14:paraId="3928D307"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E349446"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10</w:t>
      </w:r>
      <w:r w:rsidRPr="000E0B7B">
        <w:rPr>
          <w:rFonts w:ascii="Verdana" w:hAnsi="Verdana"/>
          <w:sz w:val="20"/>
          <w:szCs w:val="20"/>
        </w:rPr>
        <w:t>.</w:t>
      </w:r>
    </w:p>
    <w:p w14:paraId="72292E5F" w14:textId="5136B358"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efectos de los futuros y forwards sobre variaciones de índices no accionarios les será aplicable lo establecido en</w:t>
      </w:r>
      <w:r w:rsidR="002C3255">
        <w:rPr>
          <w:rFonts w:ascii="Verdana" w:eastAsia="Times New Roman" w:hAnsi="Verdana" w:cs="Arial"/>
          <w:sz w:val="20"/>
          <w:szCs w:val="20"/>
          <w:lang w:val="es-ES" w:eastAsia="es-ES"/>
        </w:rPr>
        <w:t xml:space="preserve">tre los párrafos 1.1.A8.7. y 1.1.A8.10. </w:t>
      </w:r>
      <w:r w:rsidRPr="009C60D9">
        <w:rPr>
          <w:rFonts w:ascii="Verdana" w:eastAsia="Times New Roman" w:hAnsi="Verdana" w:cs="Arial"/>
          <w:sz w:val="20"/>
          <w:szCs w:val="20"/>
          <w:lang w:val="es-ES" w:eastAsia="es-ES"/>
        </w:rPr>
        <w:t>(i.e. futuro sobre inflación).</w:t>
      </w:r>
    </w:p>
    <w:p w14:paraId="30E4F6E9"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7011E66B" w14:textId="36A09329" w:rsidR="00A83C87" w:rsidRPr="008936EB" w:rsidRDefault="00A83C87" w:rsidP="008936EB">
      <w:pPr>
        <w:pStyle w:val="Prrafodelista"/>
        <w:numPr>
          <w:ilvl w:val="0"/>
          <w:numId w:val="28"/>
        </w:numPr>
        <w:ind w:left="567" w:hanging="283"/>
        <w:jc w:val="both"/>
        <w:rPr>
          <w:rFonts w:ascii="Verdana" w:eastAsia="Times New Roman" w:hAnsi="Verdana" w:cs="Arial"/>
          <w:sz w:val="20"/>
          <w:szCs w:val="20"/>
          <w:lang w:val="es-ES" w:eastAsia="es-ES"/>
        </w:rPr>
      </w:pPr>
      <w:r w:rsidRPr="008936EB">
        <w:rPr>
          <w:rFonts w:ascii="Verdana" w:hAnsi="Verdana"/>
          <w:b/>
          <w:bCs/>
          <w:sz w:val="20"/>
          <w:szCs w:val="20"/>
        </w:rPr>
        <w:t xml:space="preserve">Futuros, </w:t>
      </w:r>
      <w:r w:rsidR="00BE60EE" w:rsidRPr="008936EB">
        <w:rPr>
          <w:rFonts w:ascii="Verdana" w:hAnsi="Verdana"/>
          <w:b/>
          <w:bCs/>
          <w:sz w:val="20"/>
          <w:szCs w:val="20"/>
        </w:rPr>
        <w:t>f</w:t>
      </w:r>
      <w:r w:rsidRPr="008936EB">
        <w:rPr>
          <w:rFonts w:ascii="Verdana" w:hAnsi="Verdana"/>
          <w:b/>
          <w:bCs/>
          <w:sz w:val="20"/>
          <w:szCs w:val="20"/>
        </w:rPr>
        <w:t xml:space="preserve">orwards y </w:t>
      </w:r>
      <w:r w:rsidR="00BE60EE" w:rsidRPr="008936EB">
        <w:rPr>
          <w:rFonts w:ascii="Verdana" w:hAnsi="Verdana"/>
          <w:b/>
          <w:bCs/>
          <w:sz w:val="20"/>
          <w:szCs w:val="20"/>
        </w:rPr>
        <w:t>o</w:t>
      </w:r>
      <w:r w:rsidRPr="008936EB">
        <w:rPr>
          <w:rFonts w:ascii="Verdana" w:hAnsi="Verdana"/>
          <w:b/>
          <w:bCs/>
          <w:sz w:val="20"/>
          <w:szCs w:val="20"/>
        </w:rPr>
        <w:t xml:space="preserve">peraciones a </w:t>
      </w:r>
      <w:r w:rsidR="00BE60EE" w:rsidRPr="008936EB">
        <w:rPr>
          <w:rFonts w:ascii="Verdana" w:hAnsi="Verdana"/>
          <w:b/>
          <w:bCs/>
          <w:sz w:val="20"/>
          <w:szCs w:val="20"/>
        </w:rPr>
        <w:t>p</w:t>
      </w:r>
      <w:r w:rsidRPr="008936EB">
        <w:rPr>
          <w:rFonts w:ascii="Verdana" w:hAnsi="Verdana"/>
          <w:b/>
          <w:bCs/>
          <w:sz w:val="20"/>
          <w:szCs w:val="20"/>
        </w:rPr>
        <w:t>lazo sobre títulos de deuda</w:t>
      </w:r>
    </w:p>
    <w:p w14:paraId="79C183F7"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11</w:t>
      </w:r>
      <w:r w:rsidRPr="000E0B7B">
        <w:rPr>
          <w:rFonts w:ascii="Verdana" w:hAnsi="Verdana"/>
          <w:sz w:val="20"/>
          <w:szCs w:val="20"/>
        </w:rPr>
        <w:t>.</w:t>
      </w:r>
    </w:p>
    <w:p w14:paraId="0FF0868E" w14:textId="1E5F459C"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Estos instrumentos deberán ser tratados como 2 posiciones nocionales, una en el título subyacente y otra en un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Cuando la entidad tenga una posición larga en las operaciones </w:t>
      </w:r>
      <w:r w:rsidR="00FB1B03">
        <w:rPr>
          <w:rFonts w:ascii="Verdana" w:eastAsia="Times New Roman" w:hAnsi="Verdana" w:cs="Arial"/>
          <w:sz w:val="20"/>
          <w:szCs w:val="20"/>
          <w:lang w:val="es-ES" w:eastAsia="es-ES"/>
        </w:rPr>
        <w:t xml:space="preserve">aquí señaladas </w:t>
      </w:r>
      <w:r w:rsidRPr="009C60D9">
        <w:rPr>
          <w:rFonts w:ascii="Verdana" w:eastAsia="Times New Roman" w:hAnsi="Verdana" w:cs="Arial"/>
          <w:sz w:val="20"/>
          <w:szCs w:val="20"/>
          <w:lang w:val="es-ES" w:eastAsia="es-ES"/>
        </w:rPr>
        <w:t>(es decir que se compromete a comprar un título a un precio previamente establecido en un punto de tiempo en el futuro), esta posición se descompone en:</w:t>
      </w:r>
    </w:p>
    <w:p w14:paraId="1966B7C0"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14A40324" w14:textId="77777777" w:rsidR="00A83C87" w:rsidRDefault="00A83C87" w:rsidP="000017F7">
      <w:pPr>
        <w:pStyle w:val="Prrafodelista"/>
        <w:numPr>
          <w:ilvl w:val="0"/>
          <w:numId w:val="6"/>
        </w:numPr>
        <w:spacing w:after="0" w:line="240" w:lineRule="auto"/>
        <w:ind w:left="567" w:hanging="567"/>
        <w:jc w:val="both"/>
        <w:rPr>
          <w:rFonts w:ascii="Verdana" w:eastAsia="Times New Roman" w:hAnsi="Verdana" w:cs="Arial"/>
          <w:sz w:val="20"/>
          <w:szCs w:val="20"/>
          <w:lang w:val="es-ES" w:eastAsia="es-ES"/>
        </w:rPr>
      </w:pPr>
      <w:r w:rsidRPr="00DE537C">
        <w:rPr>
          <w:rFonts w:ascii="Verdana" w:eastAsia="Times New Roman" w:hAnsi="Verdana" w:cs="Arial"/>
          <w:sz w:val="20"/>
          <w:szCs w:val="20"/>
          <w:lang w:val="es-ES" w:eastAsia="es-ES"/>
        </w:rPr>
        <w:t>Una posición nocional larga en el título subyacente.</w:t>
      </w:r>
    </w:p>
    <w:p w14:paraId="73192D01" w14:textId="77777777" w:rsidR="00A83C87" w:rsidRPr="00603E0C" w:rsidRDefault="00A83C87" w:rsidP="00603E0C">
      <w:pPr>
        <w:spacing w:after="0" w:line="240" w:lineRule="auto"/>
        <w:jc w:val="both"/>
        <w:rPr>
          <w:rFonts w:ascii="Verdana" w:eastAsia="Times New Roman" w:hAnsi="Verdana" w:cs="Arial"/>
          <w:sz w:val="20"/>
          <w:szCs w:val="20"/>
          <w:lang w:val="es-ES" w:eastAsia="es-ES"/>
        </w:rPr>
      </w:pPr>
    </w:p>
    <w:p w14:paraId="27E070A8" w14:textId="77777777" w:rsidR="00A83C87" w:rsidRPr="00DE537C" w:rsidRDefault="00A83C87" w:rsidP="000017F7">
      <w:pPr>
        <w:pStyle w:val="Prrafodelista"/>
        <w:numPr>
          <w:ilvl w:val="0"/>
          <w:numId w:val="6"/>
        </w:numPr>
        <w:spacing w:after="0" w:line="240" w:lineRule="auto"/>
        <w:ind w:left="567" w:hanging="567"/>
        <w:jc w:val="both"/>
        <w:rPr>
          <w:rFonts w:ascii="Verdana" w:eastAsia="Times New Roman" w:hAnsi="Verdana" w:cs="Arial"/>
          <w:sz w:val="20"/>
          <w:szCs w:val="20"/>
          <w:lang w:val="es-ES" w:eastAsia="es-ES"/>
        </w:rPr>
      </w:pPr>
      <w:r w:rsidRPr="00DE537C">
        <w:rPr>
          <w:rFonts w:ascii="Verdana" w:eastAsia="Times New Roman" w:hAnsi="Verdana" w:cs="Arial"/>
          <w:sz w:val="20"/>
          <w:szCs w:val="20"/>
          <w:lang w:val="es-ES" w:eastAsia="es-ES"/>
        </w:rPr>
        <w:t xml:space="preserve">Una posición nocional corta en un bono </w:t>
      </w:r>
      <w:proofErr w:type="gramStart"/>
      <w:r w:rsidRPr="00DE537C">
        <w:rPr>
          <w:rFonts w:ascii="Verdana" w:eastAsia="Times New Roman" w:hAnsi="Verdana" w:cs="Arial"/>
          <w:sz w:val="20"/>
          <w:szCs w:val="20"/>
          <w:lang w:val="es-ES" w:eastAsia="es-ES"/>
        </w:rPr>
        <w:t>cero cupón</w:t>
      </w:r>
      <w:proofErr w:type="gramEnd"/>
      <w:r w:rsidRPr="00DE537C">
        <w:rPr>
          <w:rFonts w:ascii="Verdana" w:eastAsia="Times New Roman" w:hAnsi="Verdana" w:cs="Arial"/>
          <w:sz w:val="20"/>
          <w:szCs w:val="20"/>
          <w:lang w:val="es-ES" w:eastAsia="es-ES"/>
        </w:rPr>
        <w:t xml:space="preserve"> con madurez residual igual al tiempo que resta para el cumplimiento del contrato (el valor nominal de esta posición corresponde al precio pactado). Para el caso contrario (posición corta en el futuro, el forward o la operación a plazo), la primera posición nocional descrita es corta y la segunda larga.</w:t>
      </w:r>
    </w:p>
    <w:p w14:paraId="684EA91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2CB9727B"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12</w:t>
      </w:r>
      <w:r w:rsidRPr="000E0B7B">
        <w:rPr>
          <w:rFonts w:ascii="Verdana" w:hAnsi="Verdana"/>
          <w:sz w:val="20"/>
          <w:szCs w:val="20"/>
        </w:rPr>
        <w:t>.</w:t>
      </w:r>
    </w:p>
    <w:p w14:paraId="6169A914"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Cuando el título subyacente de la operación esté denominado en una moneda distinta a la legal, la primera posición nocional descrita deberá ser clasificada en la escalera de duraciones modificadas respectiva y adicionalmente deberá ser tenida en cuenta para calcular la exposición al riesgo de tasa de cambio.</w:t>
      </w:r>
    </w:p>
    <w:p w14:paraId="2D8860A6"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3F087DC"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13</w:t>
      </w:r>
      <w:r w:rsidRPr="000E0B7B">
        <w:rPr>
          <w:rFonts w:ascii="Verdana" w:hAnsi="Verdana"/>
          <w:sz w:val="20"/>
          <w:szCs w:val="20"/>
        </w:rPr>
        <w:t>.</w:t>
      </w:r>
    </w:p>
    <w:p w14:paraId="1D98EEAC"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En el caso de los futuros sobre bonos nocionales que se negocien en la Bolsa de Valores de Colombia, la posición nocional larga de que trata el presente literal será calculada cómo el cociente entre el valor a precios de mercado del “</w:t>
      </w:r>
      <w:proofErr w:type="spellStart"/>
      <w:r w:rsidRPr="009C60D9">
        <w:rPr>
          <w:rFonts w:ascii="Verdana" w:eastAsia="Times New Roman" w:hAnsi="Verdana" w:cs="Arial"/>
          <w:i/>
          <w:sz w:val="20"/>
          <w:szCs w:val="20"/>
          <w:lang w:val="es-ES" w:eastAsia="es-ES"/>
        </w:rPr>
        <w:t>cheapest</w:t>
      </w:r>
      <w:proofErr w:type="spellEnd"/>
      <w:r w:rsidRPr="009C60D9">
        <w:rPr>
          <w:rFonts w:ascii="Verdana" w:eastAsia="Times New Roman" w:hAnsi="Verdana" w:cs="Arial"/>
          <w:i/>
          <w:sz w:val="20"/>
          <w:szCs w:val="20"/>
          <w:lang w:val="es-ES" w:eastAsia="es-ES"/>
        </w:rPr>
        <w:t xml:space="preserve"> </w:t>
      </w:r>
      <w:proofErr w:type="spellStart"/>
      <w:r w:rsidRPr="009C60D9">
        <w:rPr>
          <w:rFonts w:ascii="Verdana" w:eastAsia="Times New Roman" w:hAnsi="Verdana" w:cs="Arial"/>
          <w:i/>
          <w:sz w:val="20"/>
          <w:szCs w:val="20"/>
          <w:lang w:val="es-ES" w:eastAsia="es-ES"/>
        </w:rPr>
        <w:t>to</w:t>
      </w:r>
      <w:proofErr w:type="spellEnd"/>
      <w:r w:rsidRPr="009C60D9">
        <w:rPr>
          <w:rFonts w:ascii="Verdana" w:eastAsia="Times New Roman" w:hAnsi="Verdana" w:cs="Arial"/>
          <w:i/>
          <w:sz w:val="20"/>
          <w:szCs w:val="20"/>
          <w:lang w:val="es-ES" w:eastAsia="es-ES"/>
        </w:rPr>
        <w:t xml:space="preserve"> </w:t>
      </w:r>
      <w:proofErr w:type="spellStart"/>
      <w:r w:rsidRPr="009C60D9">
        <w:rPr>
          <w:rFonts w:ascii="Verdana" w:eastAsia="Times New Roman" w:hAnsi="Verdana" w:cs="Arial"/>
          <w:i/>
          <w:sz w:val="20"/>
          <w:szCs w:val="20"/>
          <w:lang w:val="es-ES" w:eastAsia="es-ES"/>
        </w:rPr>
        <w:t>deliver</w:t>
      </w:r>
      <w:proofErr w:type="spellEnd"/>
      <w:r w:rsidRPr="009C60D9">
        <w:rPr>
          <w:rFonts w:ascii="Verdana" w:eastAsia="Times New Roman" w:hAnsi="Verdana" w:cs="Arial"/>
          <w:sz w:val="20"/>
          <w:szCs w:val="20"/>
          <w:lang w:val="es-ES" w:eastAsia="es-ES"/>
        </w:rPr>
        <w:t>” a la fecha de valoración respectiva y el factor de conversión definido por la Bolsa de Valores de Colombia.</w:t>
      </w:r>
    </w:p>
    <w:p w14:paraId="0F08F79B"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60FB4D9"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14</w:t>
      </w:r>
      <w:r w:rsidRPr="000E0B7B">
        <w:rPr>
          <w:rFonts w:ascii="Verdana" w:hAnsi="Verdana"/>
          <w:sz w:val="20"/>
          <w:szCs w:val="20"/>
        </w:rPr>
        <w:t>.</w:t>
      </w:r>
    </w:p>
    <w:p w14:paraId="3CFC1016" w14:textId="5A146ADE"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este tipo de </w:t>
      </w:r>
      <w:r w:rsidRPr="0001596C">
        <w:rPr>
          <w:rFonts w:ascii="Verdana" w:eastAsia="Times New Roman" w:hAnsi="Verdana" w:cs="Arial"/>
          <w:sz w:val="20"/>
          <w:szCs w:val="20"/>
          <w:lang w:val="es-ES" w:eastAsia="es-ES"/>
        </w:rPr>
        <w:t xml:space="preserve">futuros, la posición nocional corta se definirá de acuerdo con las instrucciones señaladas </w:t>
      </w:r>
      <w:r w:rsidR="0001596C" w:rsidRPr="0001596C">
        <w:rPr>
          <w:rFonts w:ascii="Verdana" w:eastAsia="Times New Roman" w:hAnsi="Verdana" w:cs="Arial"/>
          <w:sz w:val="20"/>
          <w:szCs w:val="20"/>
          <w:lang w:val="es-ES" w:eastAsia="es-ES"/>
        </w:rPr>
        <w:t>entre</w:t>
      </w:r>
      <w:r w:rsidR="0001596C">
        <w:rPr>
          <w:rFonts w:ascii="Verdana" w:eastAsia="Times New Roman" w:hAnsi="Verdana" w:cs="Arial"/>
          <w:sz w:val="20"/>
          <w:szCs w:val="20"/>
          <w:lang w:val="es-ES" w:eastAsia="es-ES"/>
        </w:rPr>
        <w:t xml:space="preserve"> los párrafos 1.1.A8.11. y 1.1.A8.14.</w:t>
      </w:r>
    </w:p>
    <w:p w14:paraId="1563CF86" w14:textId="77777777" w:rsidR="0001596C" w:rsidRPr="009C60D9" w:rsidRDefault="0001596C" w:rsidP="00A83C87">
      <w:pPr>
        <w:spacing w:after="0" w:line="240" w:lineRule="auto"/>
        <w:jc w:val="both"/>
        <w:rPr>
          <w:rFonts w:ascii="Verdana" w:eastAsia="Times New Roman" w:hAnsi="Verdana" w:cs="Arial"/>
          <w:sz w:val="20"/>
          <w:szCs w:val="20"/>
          <w:lang w:val="es-ES" w:eastAsia="es-ES"/>
        </w:rPr>
      </w:pPr>
    </w:p>
    <w:p w14:paraId="40CD6C34" w14:textId="465F958E" w:rsidR="00A83C87" w:rsidRPr="008936EB" w:rsidRDefault="00A83C87" w:rsidP="008936EB">
      <w:pPr>
        <w:pStyle w:val="Prrafodelista"/>
        <w:numPr>
          <w:ilvl w:val="0"/>
          <w:numId w:val="28"/>
        </w:numPr>
        <w:ind w:left="567" w:hanging="283"/>
        <w:jc w:val="both"/>
        <w:rPr>
          <w:rFonts w:ascii="Verdana" w:eastAsia="Times New Roman" w:hAnsi="Verdana" w:cs="Arial"/>
          <w:sz w:val="20"/>
          <w:szCs w:val="20"/>
          <w:lang w:val="es-ES" w:eastAsia="es-ES"/>
        </w:rPr>
      </w:pPr>
      <w:r w:rsidRPr="008936EB">
        <w:rPr>
          <w:rFonts w:ascii="Verdana" w:hAnsi="Verdana"/>
          <w:b/>
          <w:bCs/>
          <w:sz w:val="20"/>
          <w:szCs w:val="20"/>
        </w:rPr>
        <w:t xml:space="preserve">Futuros, </w:t>
      </w:r>
      <w:r w:rsidR="008936EB" w:rsidRPr="008936EB">
        <w:rPr>
          <w:rFonts w:ascii="Verdana" w:hAnsi="Verdana"/>
          <w:b/>
          <w:bCs/>
          <w:sz w:val="20"/>
          <w:szCs w:val="20"/>
        </w:rPr>
        <w:t>f</w:t>
      </w:r>
      <w:r w:rsidRPr="008936EB">
        <w:rPr>
          <w:rFonts w:ascii="Verdana" w:hAnsi="Verdana"/>
          <w:b/>
          <w:bCs/>
          <w:sz w:val="20"/>
          <w:szCs w:val="20"/>
        </w:rPr>
        <w:t xml:space="preserve">orwards y </w:t>
      </w:r>
      <w:r w:rsidR="008936EB" w:rsidRPr="008936EB">
        <w:rPr>
          <w:rFonts w:ascii="Verdana" w:hAnsi="Verdana"/>
          <w:b/>
          <w:bCs/>
          <w:sz w:val="20"/>
          <w:szCs w:val="20"/>
        </w:rPr>
        <w:t>o</w:t>
      </w:r>
      <w:r w:rsidRPr="008936EB">
        <w:rPr>
          <w:rFonts w:ascii="Verdana" w:hAnsi="Verdana"/>
          <w:b/>
          <w:bCs/>
          <w:sz w:val="20"/>
          <w:szCs w:val="20"/>
        </w:rPr>
        <w:t xml:space="preserve">peraciones a </w:t>
      </w:r>
      <w:r w:rsidR="008936EB" w:rsidRPr="008936EB">
        <w:rPr>
          <w:rFonts w:ascii="Verdana" w:hAnsi="Verdana"/>
          <w:b/>
          <w:bCs/>
          <w:sz w:val="20"/>
          <w:szCs w:val="20"/>
        </w:rPr>
        <w:t>p</w:t>
      </w:r>
      <w:r w:rsidRPr="008936EB">
        <w:rPr>
          <w:rFonts w:ascii="Verdana" w:hAnsi="Verdana"/>
          <w:b/>
          <w:bCs/>
          <w:sz w:val="20"/>
          <w:szCs w:val="20"/>
        </w:rPr>
        <w:t>lazo sobre divisas</w:t>
      </w:r>
    </w:p>
    <w:p w14:paraId="23BCE707" w14:textId="777777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15</w:t>
      </w:r>
      <w:r w:rsidRPr="000E0B7B">
        <w:rPr>
          <w:rFonts w:ascii="Verdana" w:hAnsi="Verdana"/>
          <w:sz w:val="20"/>
          <w:szCs w:val="20"/>
        </w:rPr>
        <w:t>.</w:t>
      </w:r>
    </w:p>
    <w:p w14:paraId="17DF44F5" w14:textId="77777777" w:rsidR="008936EB" w:rsidRDefault="00A83C87" w:rsidP="008936EB">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Estos instrumentos deberán ser tratados como 2 posiciones nocionales en bonos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en las monedas aplicables</w:t>
      </w:r>
      <w:r w:rsidR="008936EB">
        <w:rPr>
          <w:rFonts w:ascii="Verdana" w:eastAsia="Times New Roman" w:hAnsi="Verdana" w:cs="Arial"/>
          <w:sz w:val="20"/>
          <w:szCs w:val="20"/>
          <w:lang w:val="es-ES" w:eastAsia="es-ES"/>
        </w:rPr>
        <w:t>:</w:t>
      </w:r>
    </w:p>
    <w:p w14:paraId="20AE2D9A" w14:textId="77777777" w:rsidR="008936EB" w:rsidRDefault="008936EB" w:rsidP="008936EB">
      <w:pPr>
        <w:spacing w:after="0" w:line="240" w:lineRule="auto"/>
        <w:jc w:val="both"/>
        <w:rPr>
          <w:rFonts w:ascii="Verdana" w:eastAsia="Times New Roman" w:hAnsi="Verdana" w:cs="Arial"/>
          <w:sz w:val="20"/>
          <w:szCs w:val="20"/>
          <w:lang w:val="es-ES" w:eastAsia="es-ES"/>
        </w:rPr>
      </w:pPr>
    </w:p>
    <w:p w14:paraId="5D22F5C9" w14:textId="77777777" w:rsidR="008936EB" w:rsidRDefault="00A83C87" w:rsidP="008936EB">
      <w:pPr>
        <w:pStyle w:val="Prrafodelista"/>
        <w:numPr>
          <w:ilvl w:val="0"/>
          <w:numId w:val="29"/>
        </w:numPr>
        <w:spacing w:after="0" w:line="240" w:lineRule="auto"/>
        <w:ind w:left="567" w:hanging="567"/>
        <w:jc w:val="both"/>
        <w:rPr>
          <w:rFonts w:ascii="Verdana" w:eastAsia="Times New Roman" w:hAnsi="Verdana" w:cs="Arial"/>
          <w:sz w:val="20"/>
          <w:szCs w:val="20"/>
          <w:lang w:val="es-ES" w:eastAsia="es-ES"/>
        </w:rPr>
      </w:pPr>
      <w:r w:rsidRPr="008936EB">
        <w:rPr>
          <w:rFonts w:ascii="Verdana" w:eastAsia="Times New Roman" w:hAnsi="Verdana" w:cs="Arial"/>
          <w:sz w:val="20"/>
          <w:szCs w:val="20"/>
          <w:lang w:val="es-ES" w:eastAsia="es-ES"/>
        </w:rPr>
        <w:t xml:space="preserve">Una posición nocional larga en un bono </w:t>
      </w:r>
      <w:proofErr w:type="gramStart"/>
      <w:r w:rsidRPr="008936EB">
        <w:rPr>
          <w:rFonts w:ascii="Verdana" w:eastAsia="Times New Roman" w:hAnsi="Verdana" w:cs="Arial"/>
          <w:sz w:val="20"/>
          <w:szCs w:val="20"/>
          <w:lang w:val="es-ES" w:eastAsia="es-ES"/>
        </w:rPr>
        <w:t>cero cupón</w:t>
      </w:r>
      <w:proofErr w:type="gramEnd"/>
      <w:r w:rsidRPr="008936EB">
        <w:rPr>
          <w:rFonts w:ascii="Verdana" w:eastAsia="Times New Roman" w:hAnsi="Verdana" w:cs="Arial"/>
          <w:sz w:val="20"/>
          <w:szCs w:val="20"/>
          <w:lang w:val="es-ES" w:eastAsia="es-ES"/>
        </w:rPr>
        <w:t>, denominado en la moneda comprada y con una madurez residual igual al tiempo que resta para el cumplimiento del contrato.</w:t>
      </w:r>
    </w:p>
    <w:p w14:paraId="199EC88A" w14:textId="77777777" w:rsidR="008936EB" w:rsidRDefault="008936EB" w:rsidP="008936EB">
      <w:pPr>
        <w:pStyle w:val="Prrafodelista"/>
        <w:spacing w:after="0" w:line="240" w:lineRule="auto"/>
        <w:ind w:left="567"/>
        <w:jc w:val="both"/>
        <w:rPr>
          <w:rFonts w:ascii="Verdana" w:eastAsia="Times New Roman" w:hAnsi="Verdana" w:cs="Arial"/>
          <w:sz w:val="20"/>
          <w:szCs w:val="20"/>
          <w:lang w:val="es-ES" w:eastAsia="es-ES"/>
        </w:rPr>
      </w:pPr>
    </w:p>
    <w:p w14:paraId="0372CF08" w14:textId="213C192E" w:rsidR="00A83C87" w:rsidRPr="008936EB" w:rsidRDefault="00A83C87" w:rsidP="008936EB">
      <w:pPr>
        <w:pStyle w:val="Prrafodelista"/>
        <w:numPr>
          <w:ilvl w:val="0"/>
          <w:numId w:val="29"/>
        </w:numPr>
        <w:spacing w:after="0" w:line="240" w:lineRule="auto"/>
        <w:ind w:left="567" w:hanging="567"/>
        <w:jc w:val="both"/>
        <w:rPr>
          <w:rFonts w:ascii="Verdana" w:eastAsia="Times New Roman" w:hAnsi="Verdana" w:cs="Arial"/>
          <w:sz w:val="20"/>
          <w:szCs w:val="20"/>
          <w:lang w:val="es-ES" w:eastAsia="es-ES"/>
        </w:rPr>
      </w:pPr>
      <w:r w:rsidRPr="008936EB">
        <w:rPr>
          <w:rFonts w:ascii="Verdana" w:eastAsia="Times New Roman" w:hAnsi="Verdana" w:cs="Arial"/>
          <w:sz w:val="20"/>
          <w:szCs w:val="20"/>
          <w:lang w:val="es-ES" w:eastAsia="es-ES"/>
        </w:rPr>
        <w:t xml:space="preserve">Una posición nocional corta en un bono </w:t>
      </w:r>
      <w:proofErr w:type="gramStart"/>
      <w:r w:rsidRPr="008936EB">
        <w:rPr>
          <w:rFonts w:ascii="Verdana" w:eastAsia="Times New Roman" w:hAnsi="Verdana" w:cs="Arial"/>
          <w:sz w:val="20"/>
          <w:szCs w:val="20"/>
          <w:lang w:val="es-ES" w:eastAsia="es-ES"/>
        </w:rPr>
        <w:t>cero cupón</w:t>
      </w:r>
      <w:proofErr w:type="gramEnd"/>
      <w:r w:rsidRPr="008936EB">
        <w:rPr>
          <w:rFonts w:ascii="Verdana" w:eastAsia="Times New Roman" w:hAnsi="Verdana" w:cs="Arial"/>
          <w:sz w:val="20"/>
          <w:szCs w:val="20"/>
          <w:lang w:val="es-ES" w:eastAsia="es-ES"/>
        </w:rPr>
        <w:t>, denominado en la moneda vendida y con una madurez residual igual al tiempo que resta para el cumplimiento del contrato.</w:t>
      </w:r>
    </w:p>
    <w:p w14:paraId="667D1CD4" w14:textId="77777777" w:rsidR="00A83C87"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51527BB2" w14:textId="77777777" w:rsidR="00BE0AAD" w:rsidRPr="009C60D9" w:rsidRDefault="00BE0AAD" w:rsidP="00A83C87">
      <w:pPr>
        <w:pStyle w:val="Prrafodelista"/>
        <w:spacing w:after="0" w:line="240" w:lineRule="auto"/>
        <w:ind w:left="0"/>
        <w:jc w:val="both"/>
        <w:rPr>
          <w:rFonts w:ascii="Verdana" w:eastAsia="Times New Roman" w:hAnsi="Verdana" w:cs="Arial"/>
          <w:sz w:val="20"/>
          <w:szCs w:val="20"/>
          <w:lang w:val="es-ES" w:eastAsia="es-ES"/>
        </w:rPr>
      </w:pPr>
    </w:p>
    <w:p w14:paraId="68C7D052" w14:textId="26A44F2E" w:rsidR="00A83C87" w:rsidRPr="000E0B7B" w:rsidRDefault="00A83C87" w:rsidP="00A83C87">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CB235B">
        <w:rPr>
          <w:rFonts w:ascii="Verdana" w:hAnsi="Verdana"/>
          <w:sz w:val="20"/>
          <w:szCs w:val="20"/>
        </w:rPr>
        <w:t>6</w:t>
      </w:r>
      <w:r w:rsidRPr="000E0B7B">
        <w:rPr>
          <w:rFonts w:ascii="Verdana" w:hAnsi="Verdana"/>
          <w:sz w:val="20"/>
          <w:szCs w:val="20"/>
        </w:rPr>
        <w:t>.</w:t>
      </w:r>
    </w:p>
    <w:p w14:paraId="548FDBCA"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Estas posiciones deberán ser tenidas en cuenta para calcular la exposición al riesgo de tasa de cambio.</w:t>
      </w:r>
    </w:p>
    <w:p w14:paraId="2DEFB3D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2CC726D" w14:textId="41CA342C" w:rsidR="00A83C87" w:rsidRPr="00386B8D" w:rsidRDefault="00A83C87" w:rsidP="00386B8D">
      <w:pPr>
        <w:pStyle w:val="Prrafodelista"/>
        <w:numPr>
          <w:ilvl w:val="0"/>
          <w:numId w:val="28"/>
        </w:numPr>
        <w:ind w:left="567" w:hanging="294"/>
        <w:jc w:val="both"/>
        <w:rPr>
          <w:rFonts w:ascii="Verdana" w:eastAsia="Times New Roman" w:hAnsi="Verdana" w:cs="Arial"/>
          <w:sz w:val="20"/>
          <w:szCs w:val="20"/>
          <w:lang w:val="es-ES" w:eastAsia="es-ES"/>
        </w:rPr>
      </w:pPr>
      <w:r w:rsidRPr="00386B8D">
        <w:rPr>
          <w:rFonts w:ascii="Verdana" w:hAnsi="Verdana"/>
          <w:b/>
          <w:bCs/>
          <w:sz w:val="20"/>
          <w:szCs w:val="20"/>
        </w:rPr>
        <w:t>Swaps de tasas de interés</w:t>
      </w:r>
    </w:p>
    <w:p w14:paraId="384EA9EC" w14:textId="747B2F8A"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CB235B">
        <w:rPr>
          <w:rFonts w:ascii="Verdana" w:hAnsi="Verdana"/>
          <w:sz w:val="20"/>
          <w:szCs w:val="20"/>
        </w:rPr>
        <w:t>7</w:t>
      </w:r>
      <w:r w:rsidRPr="000E0B7B">
        <w:rPr>
          <w:rFonts w:ascii="Verdana" w:hAnsi="Verdana"/>
          <w:sz w:val="20"/>
          <w:szCs w:val="20"/>
        </w:rPr>
        <w:t>.</w:t>
      </w:r>
    </w:p>
    <w:p w14:paraId="3CD992E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Estos instrumentos deberán ser tratados como dos posiciones nocionales en bonos subyacentes en las tasas de interés respectivas. En este sentido la posición se descompone en:</w:t>
      </w:r>
    </w:p>
    <w:p w14:paraId="01E5B5C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47AA765" w14:textId="77777777" w:rsidR="00A83C87" w:rsidRDefault="00A83C87" w:rsidP="000017F7">
      <w:pPr>
        <w:pStyle w:val="Prrafodelista"/>
        <w:numPr>
          <w:ilvl w:val="0"/>
          <w:numId w:val="7"/>
        </w:numPr>
        <w:spacing w:after="0" w:line="240" w:lineRule="auto"/>
        <w:ind w:left="567" w:hanging="567"/>
        <w:jc w:val="both"/>
        <w:rPr>
          <w:rFonts w:ascii="Verdana" w:eastAsia="Times New Roman" w:hAnsi="Verdana" w:cs="Arial"/>
          <w:sz w:val="20"/>
          <w:szCs w:val="20"/>
          <w:lang w:val="es-ES" w:eastAsia="es-ES"/>
        </w:rPr>
      </w:pPr>
      <w:r w:rsidRPr="007A12D9">
        <w:rPr>
          <w:rFonts w:ascii="Verdana" w:eastAsia="Times New Roman" w:hAnsi="Verdana" w:cs="Arial"/>
          <w:sz w:val="20"/>
          <w:szCs w:val="20"/>
          <w:lang w:val="es-ES" w:eastAsia="es-ES"/>
        </w:rPr>
        <w:t>Una posición nocional larga en un título pactado a la tasa de interés que recibe la entidad.</w:t>
      </w:r>
    </w:p>
    <w:p w14:paraId="5074B851" w14:textId="77777777" w:rsidR="00A83C87"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28CFD81D" w14:textId="77777777" w:rsidR="00A83C87" w:rsidRPr="007A12D9" w:rsidRDefault="00A83C87" w:rsidP="000017F7">
      <w:pPr>
        <w:pStyle w:val="Prrafodelista"/>
        <w:numPr>
          <w:ilvl w:val="0"/>
          <w:numId w:val="7"/>
        </w:numPr>
        <w:spacing w:after="0" w:line="240" w:lineRule="auto"/>
        <w:ind w:left="567" w:hanging="567"/>
        <w:jc w:val="both"/>
        <w:rPr>
          <w:rFonts w:ascii="Verdana" w:eastAsia="Times New Roman" w:hAnsi="Verdana" w:cs="Arial"/>
          <w:sz w:val="20"/>
          <w:szCs w:val="20"/>
          <w:lang w:val="es-ES" w:eastAsia="es-ES"/>
        </w:rPr>
      </w:pPr>
      <w:r w:rsidRPr="007A12D9">
        <w:rPr>
          <w:rFonts w:ascii="Verdana" w:eastAsia="Times New Roman" w:hAnsi="Verdana" w:cs="Arial"/>
          <w:sz w:val="20"/>
          <w:szCs w:val="20"/>
          <w:lang w:val="es-ES" w:eastAsia="es-ES"/>
        </w:rPr>
        <w:t>Una posición nocional corta en un título pactado a la tasa de interés que la entidad paga.</w:t>
      </w:r>
    </w:p>
    <w:p w14:paraId="48A29E76"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21A5EB1D" w14:textId="584F010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18</w:t>
      </w:r>
      <w:r w:rsidRPr="000E0B7B">
        <w:rPr>
          <w:rFonts w:ascii="Verdana" w:hAnsi="Verdana"/>
          <w:sz w:val="20"/>
          <w:szCs w:val="20"/>
        </w:rPr>
        <w:t>.</w:t>
      </w:r>
    </w:p>
    <w:p w14:paraId="75396DA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Cuando la tasa de interés del instrumento subyacente sea fija, la madurez residual correspondiente será igual a la duración del contrato.</w:t>
      </w:r>
    </w:p>
    <w:p w14:paraId="372FBF3C"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DC8437A" w14:textId="74C0D7F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19</w:t>
      </w:r>
      <w:r w:rsidRPr="000E0B7B">
        <w:rPr>
          <w:rFonts w:ascii="Verdana" w:hAnsi="Verdana"/>
          <w:sz w:val="20"/>
          <w:szCs w:val="20"/>
        </w:rPr>
        <w:t>.</w:t>
      </w:r>
    </w:p>
    <w:p w14:paraId="46D181A0" w14:textId="7B425925"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los casos en que la tasa de interés sea variable, la duración del flujo se debe calcular de acuerdo </w:t>
      </w:r>
      <w:r w:rsidR="00EF6666">
        <w:rPr>
          <w:rFonts w:ascii="Verdana" w:eastAsia="Times New Roman" w:hAnsi="Verdana" w:cs="Arial"/>
          <w:sz w:val="20"/>
          <w:szCs w:val="20"/>
          <w:lang w:val="es-ES" w:eastAsia="es-ES"/>
        </w:rPr>
        <w:t>con las instrucciones del párrafo 1.1.A8.</w:t>
      </w:r>
      <w:r w:rsidR="00077346">
        <w:rPr>
          <w:rFonts w:ascii="Verdana" w:eastAsia="Times New Roman" w:hAnsi="Verdana" w:cs="Arial"/>
          <w:sz w:val="20"/>
          <w:szCs w:val="20"/>
          <w:lang w:val="es-ES" w:eastAsia="es-ES"/>
        </w:rPr>
        <w:t>45. al 1.1.A8.54.</w:t>
      </w:r>
      <w:r w:rsidRPr="009C60D9">
        <w:rPr>
          <w:rFonts w:ascii="Verdana" w:eastAsia="Times New Roman" w:hAnsi="Verdana" w:cs="Arial"/>
          <w:sz w:val="20"/>
          <w:szCs w:val="20"/>
          <w:lang w:val="es-ES" w:eastAsia="es-ES"/>
        </w:rPr>
        <w:t xml:space="preserve"> para dichas posiciones.</w:t>
      </w:r>
    </w:p>
    <w:p w14:paraId="6E66BCF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766BB0B5" w14:textId="30F5F7A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0</w:t>
      </w:r>
      <w:r w:rsidRPr="000E0B7B">
        <w:rPr>
          <w:rFonts w:ascii="Verdana" w:hAnsi="Verdana"/>
          <w:sz w:val="20"/>
          <w:szCs w:val="20"/>
        </w:rPr>
        <w:t>.</w:t>
      </w:r>
    </w:p>
    <w:p w14:paraId="1C670877"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En el caso de swaps que involucren posiciones en distintas monedas (</w:t>
      </w:r>
      <w:proofErr w:type="spellStart"/>
      <w:r w:rsidRPr="009C60D9">
        <w:rPr>
          <w:rFonts w:ascii="Verdana" w:eastAsia="Times New Roman" w:hAnsi="Verdana" w:cs="Arial"/>
          <w:i/>
          <w:sz w:val="20"/>
          <w:szCs w:val="20"/>
          <w:lang w:val="es-ES" w:eastAsia="es-ES"/>
        </w:rPr>
        <w:t>cross</w:t>
      </w:r>
      <w:proofErr w:type="spellEnd"/>
      <w:r w:rsidRPr="009C60D9">
        <w:rPr>
          <w:rFonts w:ascii="Verdana" w:eastAsia="Times New Roman" w:hAnsi="Verdana" w:cs="Arial"/>
          <w:i/>
          <w:sz w:val="20"/>
          <w:szCs w:val="20"/>
          <w:lang w:val="es-ES" w:eastAsia="es-ES"/>
        </w:rPr>
        <w:t xml:space="preserve"> </w:t>
      </w:r>
      <w:proofErr w:type="spellStart"/>
      <w:r w:rsidRPr="009C60D9">
        <w:rPr>
          <w:rFonts w:ascii="Verdana" w:eastAsia="Times New Roman" w:hAnsi="Verdana" w:cs="Arial"/>
          <w:i/>
          <w:sz w:val="20"/>
          <w:szCs w:val="20"/>
          <w:lang w:val="es-ES" w:eastAsia="es-ES"/>
        </w:rPr>
        <w:t>currency</w:t>
      </w:r>
      <w:proofErr w:type="spellEnd"/>
      <w:r w:rsidRPr="009C60D9">
        <w:rPr>
          <w:rFonts w:ascii="Verdana" w:eastAsia="Times New Roman" w:hAnsi="Verdana" w:cs="Arial"/>
          <w:i/>
          <w:sz w:val="20"/>
          <w:szCs w:val="20"/>
          <w:lang w:val="es-ES" w:eastAsia="es-ES"/>
        </w:rPr>
        <w:t xml:space="preserve"> swaps</w:t>
      </w:r>
      <w:r w:rsidRPr="009C60D9">
        <w:rPr>
          <w:rFonts w:ascii="Verdana" w:eastAsia="Times New Roman" w:hAnsi="Verdana" w:cs="Arial"/>
          <w:sz w:val="20"/>
          <w:szCs w:val="20"/>
          <w:lang w:val="es-ES" w:eastAsia="es-ES"/>
        </w:rPr>
        <w:t>) cada una de las posiciones deberá ser clasificada en la respectiva escalera para el cálculo del riesgo de tasa de interés y adicionalmente deberá ser tenida en cuenta para calcular la exposición al riesgo de tasa de cambio.</w:t>
      </w:r>
    </w:p>
    <w:p w14:paraId="37BC88AF"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6D4780A" w14:textId="484EAFF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1</w:t>
      </w:r>
      <w:r w:rsidRPr="000E0B7B">
        <w:rPr>
          <w:rFonts w:ascii="Verdana" w:hAnsi="Verdana"/>
          <w:sz w:val="20"/>
          <w:szCs w:val="20"/>
        </w:rPr>
        <w:t>.</w:t>
      </w:r>
    </w:p>
    <w:p w14:paraId="300E0900" w14:textId="06A0FD21"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efectos de los futuros cuya estructura se asemeje a intercambios de flujos calculados sobre tasas de interés </w:t>
      </w:r>
      <w:r w:rsidRPr="00C21305">
        <w:rPr>
          <w:rFonts w:ascii="Verdana" w:eastAsia="Times New Roman" w:hAnsi="Verdana" w:cs="Arial"/>
          <w:sz w:val="20"/>
          <w:szCs w:val="20"/>
          <w:lang w:val="es-ES" w:eastAsia="es-ES"/>
        </w:rPr>
        <w:t xml:space="preserve">les será aplicable lo establecido </w:t>
      </w:r>
      <w:r w:rsidR="00C21305" w:rsidRPr="00C21305">
        <w:rPr>
          <w:rFonts w:ascii="Verdana" w:eastAsia="Times New Roman" w:hAnsi="Verdana" w:cs="Arial"/>
          <w:sz w:val="20"/>
          <w:szCs w:val="20"/>
          <w:lang w:val="es-ES" w:eastAsia="es-ES"/>
        </w:rPr>
        <w:t xml:space="preserve">entre los párrafos 1.1.A8.17. y 1.1.A8.23. </w:t>
      </w:r>
      <w:r w:rsidRPr="00C21305">
        <w:rPr>
          <w:rFonts w:ascii="Verdana" w:eastAsia="Times New Roman" w:hAnsi="Verdana" w:cs="Arial"/>
          <w:sz w:val="20"/>
          <w:szCs w:val="20"/>
          <w:lang w:val="es-ES" w:eastAsia="es-ES"/>
        </w:rPr>
        <w:t>(i.e. futuro sobre IBR).</w:t>
      </w:r>
    </w:p>
    <w:p w14:paraId="257C1806"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24B25B8C" w14:textId="57047DC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2</w:t>
      </w:r>
      <w:r w:rsidRPr="000E0B7B">
        <w:rPr>
          <w:rFonts w:ascii="Verdana" w:hAnsi="Verdana"/>
          <w:sz w:val="20"/>
          <w:szCs w:val="20"/>
        </w:rPr>
        <w:t>.</w:t>
      </w:r>
    </w:p>
    <w:p w14:paraId="696EDAA1" w14:textId="77777777" w:rsidR="00A83C87" w:rsidRPr="002136B1" w:rsidRDefault="00A83C87" w:rsidP="00A83C87">
      <w:pPr>
        <w:spacing w:after="0" w:line="240" w:lineRule="auto"/>
        <w:jc w:val="both"/>
        <w:rPr>
          <w:rFonts w:ascii="Verdana" w:eastAsia="Times New Roman" w:hAnsi="Verdana" w:cs="Arial"/>
          <w:bCs/>
          <w:sz w:val="20"/>
          <w:szCs w:val="20"/>
          <w:lang w:val="es-MX" w:eastAsia="es-ES"/>
        </w:rPr>
      </w:pPr>
      <w:r w:rsidRPr="002136B1">
        <w:rPr>
          <w:rFonts w:ascii="Verdana" w:eastAsia="Times New Roman" w:hAnsi="Verdana" w:cs="Arial"/>
          <w:bCs/>
          <w:sz w:val="20"/>
          <w:szCs w:val="20"/>
          <w:lang w:val="es-MX" w:eastAsia="es-ES"/>
        </w:rPr>
        <w:t>Los derivados de crédito que involucren el intercambio de los flujos completos de un activo por una tasa de interés pactada (</w:t>
      </w:r>
      <w:r w:rsidRPr="002136B1">
        <w:rPr>
          <w:rFonts w:ascii="Verdana" w:eastAsia="Times New Roman" w:hAnsi="Verdana" w:cs="Arial"/>
          <w:bCs/>
          <w:i/>
          <w:sz w:val="20"/>
          <w:szCs w:val="20"/>
          <w:lang w:val="es-MX" w:eastAsia="es-ES"/>
        </w:rPr>
        <w:t xml:space="preserve">Total </w:t>
      </w:r>
      <w:proofErr w:type="spellStart"/>
      <w:r w:rsidRPr="002136B1">
        <w:rPr>
          <w:rFonts w:ascii="Verdana" w:eastAsia="Times New Roman" w:hAnsi="Verdana" w:cs="Arial"/>
          <w:bCs/>
          <w:i/>
          <w:sz w:val="20"/>
          <w:szCs w:val="20"/>
          <w:lang w:val="es-MX" w:eastAsia="es-ES"/>
        </w:rPr>
        <w:t>Return</w:t>
      </w:r>
      <w:proofErr w:type="spellEnd"/>
      <w:r w:rsidRPr="002136B1">
        <w:rPr>
          <w:rFonts w:ascii="Verdana" w:eastAsia="Times New Roman" w:hAnsi="Verdana" w:cs="Arial"/>
          <w:bCs/>
          <w:i/>
          <w:sz w:val="20"/>
          <w:szCs w:val="20"/>
          <w:lang w:val="es-MX" w:eastAsia="es-ES"/>
        </w:rPr>
        <w:t xml:space="preserve"> Swaps), </w:t>
      </w:r>
      <w:r w:rsidRPr="002136B1">
        <w:rPr>
          <w:rFonts w:ascii="Verdana" w:eastAsia="Times New Roman" w:hAnsi="Verdana" w:cs="Arial"/>
          <w:bCs/>
          <w:sz w:val="20"/>
          <w:szCs w:val="20"/>
          <w:lang w:val="es-MX" w:eastAsia="es-ES"/>
        </w:rPr>
        <w:t xml:space="preserve">deberán ser tratados como dos posiciones nocionales separadas, así: </w:t>
      </w:r>
    </w:p>
    <w:p w14:paraId="5CC64B59" w14:textId="77777777" w:rsidR="00A83C87" w:rsidRPr="009C60D9" w:rsidRDefault="00A83C87" w:rsidP="00A83C87">
      <w:pPr>
        <w:spacing w:after="0" w:line="240" w:lineRule="auto"/>
        <w:ind w:left="284"/>
        <w:jc w:val="both"/>
        <w:rPr>
          <w:rFonts w:ascii="Verdana" w:eastAsia="Times New Roman" w:hAnsi="Verdana" w:cs="Arial"/>
          <w:b/>
          <w:sz w:val="20"/>
          <w:szCs w:val="20"/>
          <w:lang w:val="es-MX" w:eastAsia="es-ES"/>
        </w:rPr>
      </w:pPr>
    </w:p>
    <w:p w14:paraId="3E456EA6" w14:textId="77777777" w:rsidR="00A83C87" w:rsidRPr="00985AFD" w:rsidRDefault="00A83C87" w:rsidP="000017F7">
      <w:pPr>
        <w:numPr>
          <w:ilvl w:val="0"/>
          <w:numId w:val="8"/>
        </w:numPr>
        <w:tabs>
          <w:tab w:val="clear" w:pos="720"/>
          <w:tab w:val="num" w:pos="567"/>
        </w:tabs>
        <w:spacing w:after="0" w:line="240" w:lineRule="auto"/>
        <w:ind w:left="567" w:hanging="567"/>
        <w:jc w:val="both"/>
        <w:rPr>
          <w:rFonts w:ascii="Verdana" w:eastAsia="Times New Roman" w:hAnsi="Verdana" w:cs="Arial"/>
          <w:bCs/>
          <w:sz w:val="20"/>
          <w:szCs w:val="20"/>
          <w:lang w:val="es-MX" w:eastAsia="es-ES"/>
        </w:rPr>
      </w:pPr>
      <w:r w:rsidRPr="00985AFD">
        <w:rPr>
          <w:rFonts w:ascii="Verdana" w:eastAsia="Times New Roman" w:hAnsi="Verdana" w:cs="Arial"/>
          <w:bCs/>
          <w:sz w:val="20"/>
          <w:szCs w:val="20"/>
          <w:lang w:val="es-MX" w:eastAsia="es-ES"/>
        </w:rPr>
        <w:t>Una posición nocional larga o corta en el título de referencia (subyacente del derivado) que recibe o paga la entidad.</w:t>
      </w:r>
    </w:p>
    <w:p w14:paraId="08B29D91" w14:textId="77777777" w:rsidR="00A83C87" w:rsidRPr="00985AFD" w:rsidRDefault="00A83C87" w:rsidP="00A83C87">
      <w:pPr>
        <w:tabs>
          <w:tab w:val="num" w:pos="567"/>
        </w:tabs>
        <w:spacing w:after="0" w:line="240" w:lineRule="auto"/>
        <w:ind w:left="567" w:hanging="567"/>
        <w:jc w:val="both"/>
        <w:rPr>
          <w:rFonts w:ascii="Verdana" w:eastAsia="Times New Roman" w:hAnsi="Verdana" w:cs="Arial"/>
          <w:bCs/>
          <w:sz w:val="20"/>
          <w:szCs w:val="20"/>
          <w:lang w:val="es-MX" w:eastAsia="es-ES"/>
        </w:rPr>
      </w:pPr>
    </w:p>
    <w:p w14:paraId="47536D30" w14:textId="77777777" w:rsidR="00A83C87" w:rsidRPr="00985AFD" w:rsidRDefault="00A83C87" w:rsidP="000017F7">
      <w:pPr>
        <w:numPr>
          <w:ilvl w:val="0"/>
          <w:numId w:val="8"/>
        </w:numPr>
        <w:tabs>
          <w:tab w:val="clear" w:pos="720"/>
          <w:tab w:val="num" w:pos="567"/>
        </w:tabs>
        <w:spacing w:after="0" w:line="240" w:lineRule="auto"/>
        <w:ind w:left="567" w:hanging="567"/>
        <w:jc w:val="both"/>
        <w:rPr>
          <w:rFonts w:ascii="Verdana" w:eastAsia="Times New Roman" w:hAnsi="Verdana" w:cs="Arial"/>
          <w:bCs/>
          <w:sz w:val="20"/>
          <w:szCs w:val="20"/>
          <w:lang w:val="es-MX" w:eastAsia="es-ES"/>
        </w:rPr>
      </w:pPr>
      <w:r w:rsidRPr="00985AFD">
        <w:rPr>
          <w:rFonts w:ascii="Verdana" w:eastAsia="Times New Roman" w:hAnsi="Verdana" w:cs="Arial"/>
          <w:bCs/>
          <w:sz w:val="20"/>
          <w:szCs w:val="20"/>
          <w:lang w:val="es-MX" w:eastAsia="es-ES"/>
        </w:rPr>
        <w:t xml:space="preserve">Una posición nocional larga o corta en un título pactado a la tasa de interés que la entidad recibe o paga. </w:t>
      </w:r>
    </w:p>
    <w:p w14:paraId="6690960A" w14:textId="77777777" w:rsidR="00A83C87" w:rsidRPr="00A8428C" w:rsidRDefault="00A83C87" w:rsidP="00A83C87">
      <w:pPr>
        <w:spacing w:after="0" w:line="240" w:lineRule="auto"/>
        <w:jc w:val="both"/>
        <w:rPr>
          <w:rFonts w:ascii="Verdana" w:eastAsia="Times New Roman" w:hAnsi="Verdana" w:cs="Arial"/>
          <w:bCs/>
          <w:sz w:val="20"/>
          <w:szCs w:val="20"/>
          <w:lang w:val="es-MX" w:eastAsia="es-ES"/>
        </w:rPr>
      </w:pPr>
    </w:p>
    <w:p w14:paraId="53D8E209" w14:textId="391F7A8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3</w:t>
      </w:r>
      <w:r w:rsidRPr="000E0B7B">
        <w:rPr>
          <w:rFonts w:ascii="Verdana" w:hAnsi="Verdana"/>
          <w:sz w:val="20"/>
          <w:szCs w:val="20"/>
        </w:rPr>
        <w:t>.</w:t>
      </w:r>
    </w:p>
    <w:p w14:paraId="42645C65" w14:textId="07D721B1" w:rsidR="00A83C87" w:rsidRPr="00A8428C" w:rsidRDefault="00A83C87" w:rsidP="00A83C87">
      <w:pPr>
        <w:spacing w:after="0" w:line="240" w:lineRule="auto"/>
        <w:jc w:val="both"/>
        <w:rPr>
          <w:rFonts w:ascii="Verdana" w:eastAsia="Times New Roman" w:hAnsi="Verdana" w:cs="Arial"/>
          <w:bCs/>
          <w:sz w:val="20"/>
          <w:szCs w:val="20"/>
          <w:lang w:val="es-MX" w:eastAsia="es-ES"/>
        </w:rPr>
      </w:pPr>
      <w:r w:rsidRPr="00A8428C">
        <w:rPr>
          <w:rFonts w:ascii="Verdana" w:eastAsia="Times New Roman" w:hAnsi="Verdana" w:cs="Arial"/>
          <w:bCs/>
          <w:sz w:val="20"/>
          <w:szCs w:val="20"/>
          <w:lang w:val="es-MX" w:eastAsia="es-ES"/>
        </w:rPr>
        <w:t xml:space="preserve">Dependiendo de la naturaleza del título subyacente, se deberá aplicar el factor de riesgo correspondiente de acuerdo con lo previsto en el presente </w:t>
      </w:r>
      <w:r w:rsidR="00312D74">
        <w:rPr>
          <w:rFonts w:ascii="Verdana" w:eastAsia="Times New Roman" w:hAnsi="Verdana" w:cs="Arial"/>
          <w:bCs/>
          <w:sz w:val="20"/>
          <w:szCs w:val="20"/>
          <w:lang w:val="es-MX" w:eastAsia="es-ES"/>
        </w:rPr>
        <w:t>a</w:t>
      </w:r>
      <w:r w:rsidRPr="00A8428C">
        <w:rPr>
          <w:rFonts w:ascii="Verdana" w:eastAsia="Times New Roman" w:hAnsi="Verdana" w:cs="Arial"/>
          <w:bCs/>
          <w:sz w:val="20"/>
          <w:szCs w:val="20"/>
          <w:lang w:val="es-MX" w:eastAsia="es-ES"/>
        </w:rPr>
        <w:t xml:space="preserve">nexo.  </w:t>
      </w:r>
    </w:p>
    <w:p w14:paraId="1F396277" w14:textId="77777777" w:rsidR="00A83C87" w:rsidRPr="00A8428C" w:rsidRDefault="00A83C87" w:rsidP="00A83C87">
      <w:pPr>
        <w:spacing w:after="0" w:line="240" w:lineRule="auto"/>
        <w:jc w:val="both"/>
        <w:rPr>
          <w:rFonts w:ascii="Verdana" w:eastAsia="Times New Roman" w:hAnsi="Verdana" w:cs="Arial"/>
          <w:bCs/>
          <w:sz w:val="20"/>
          <w:szCs w:val="20"/>
          <w:lang w:val="es-ES" w:eastAsia="es-ES"/>
        </w:rPr>
      </w:pPr>
    </w:p>
    <w:p w14:paraId="7D448682" w14:textId="4DEEFB58" w:rsidR="00A83C87" w:rsidRPr="00C958C8" w:rsidRDefault="00A83C87" w:rsidP="00C958C8">
      <w:pPr>
        <w:pStyle w:val="Prrafodelista"/>
        <w:numPr>
          <w:ilvl w:val="0"/>
          <w:numId w:val="28"/>
        </w:numPr>
        <w:ind w:left="567" w:hanging="283"/>
        <w:jc w:val="both"/>
        <w:rPr>
          <w:rFonts w:ascii="Verdana" w:eastAsia="Times New Roman" w:hAnsi="Verdana" w:cs="Arial"/>
          <w:sz w:val="20"/>
          <w:szCs w:val="20"/>
          <w:lang w:val="es-ES" w:eastAsia="es-ES"/>
        </w:rPr>
      </w:pPr>
      <w:r w:rsidRPr="00C958C8">
        <w:rPr>
          <w:rFonts w:ascii="Verdana" w:hAnsi="Verdana"/>
          <w:b/>
          <w:bCs/>
          <w:sz w:val="20"/>
          <w:szCs w:val="20"/>
        </w:rPr>
        <w:t xml:space="preserve">Futuros, </w:t>
      </w:r>
      <w:r w:rsidR="00872655" w:rsidRPr="00C958C8">
        <w:rPr>
          <w:rFonts w:ascii="Verdana" w:hAnsi="Verdana"/>
          <w:b/>
          <w:bCs/>
          <w:sz w:val="20"/>
          <w:szCs w:val="20"/>
        </w:rPr>
        <w:t>f</w:t>
      </w:r>
      <w:r w:rsidRPr="00C958C8">
        <w:rPr>
          <w:rFonts w:ascii="Verdana" w:hAnsi="Verdana"/>
          <w:b/>
          <w:bCs/>
          <w:sz w:val="20"/>
          <w:szCs w:val="20"/>
        </w:rPr>
        <w:t xml:space="preserve">orwards y </w:t>
      </w:r>
      <w:r w:rsidR="00872655" w:rsidRPr="00C958C8">
        <w:rPr>
          <w:rFonts w:ascii="Verdana" w:hAnsi="Verdana"/>
          <w:b/>
          <w:bCs/>
          <w:sz w:val="20"/>
          <w:szCs w:val="20"/>
        </w:rPr>
        <w:t>o</w:t>
      </w:r>
      <w:r w:rsidRPr="00C958C8">
        <w:rPr>
          <w:rFonts w:ascii="Verdana" w:hAnsi="Verdana"/>
          <w:b/>
          <w:bCs/>
          <w:sz w:val="20"/>
          <w:szCs w:val="20"/>
        </w:rPr>
        <w:t xml:space="preserve">peraciones a </w:t>
      </w:r>
      <w:r w:rsidR="00872655" w:rsidRPr="00C958C8">
        <w:rPr>
          <w:rFonts w:ascii="Verdana" w:hAnsi="Verdana"/>
          <w:b/>
          <w:bCs/>
          <w:sz w:val="20"/>
          <w:szCs w:val="20"/>
        </w:rPr>
        <w:t>p</w:t>
      </w:r>
      <w:r w:rsidRPr="00C958C8">
        <w:rPr>
          <w:rFonts w:ascii="Verdana" w:hAnsi="Verdana"/>
          <w:b/>
          <w:bCs/>
          <w:sz w:val="20"/>
          <w:szCs w:val="20"/>
        </w:rPr>
        <w:t>lazo sobre acciones (o índices de acciones)</w:t>
      </w:r>
    </w:p>
    <w:p w14:paraId="48E925D5" w14:textId="7A41B14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4</w:t>
      </w:r>
      <w:r w:rsidRPr="000E0B7B">
        <w:rPr>
          <w:rFonts w:ascii="Verdana" w:hAnsi="Verdana"/>
          <w:sz w:val="20"/>
          <w:szCs w:val="20"/>
        </w:rPr>
        <w:t>.</w:t>
      </w:r>
    </w:p>
    <w:p w14:paraId="335D38EB"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Estas operaciones deben descomponerse en 2 posiciones nocionales, una correspondiente a la acción (o índice de acciones) subyacente y otra correspondiente a un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con madurez residual igual al tiempo remanente para el cumplimiento del contrato.</w:t>
      </w:r>
    </w:p>
    <w:p w14:paraId="1A5D4F5D"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08BA5AE9" w14:textId="1F2E7F8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5</w:t>
      </w:r>
      <w:r w:rsidRPr="000E0B7B">
        <w:rPr>
          <w:rFonts w:ascii="Verdana" w:hAnsi="Verdana"/>
          <w:sz w:val="20"/>
          <w:szCs w:val="20"/>
        </w:rPr>
        <w:t>.</w:t>
      </w:r>
    </w:p>
    <w:p w14:paraId="703E51FE" w14:textId="48396B4C"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Cuando la entidad tenga una posición larga en las </w:t>
      </w:r>
      <w:r w:rsidRPr="008C23BF">
        <w:rPr>
          <w:rFonts w:ascii="Verdana" w:eastAsia="Times New Roman" w:hAnsi="Verdana" w:cs="Arial"/>
          <w:sz w:val="20"/>
          <w:szCs w:val="20"/>
          <w:lang w:val="es-ES" w:eastAsia="es-ES"/>
        </w:rPr>
        <w:t xml:space="preserve">operaciones </w:t>
      </w:r>
      <w:r w:rsidR="008C23BF" w:rsidRPr="008C23BF">
        <w:rPr>
          <w:rFonts w:ascii="Verdana" w:eastAsia="Times New Roman" w:hAnsi="Verdana" w:cs="Arial"/>
          <w:sz w:val="20"/>
          <w:szCs w:val="20"/>
          <w:lang w:val="es-ES" w:eastAsia="es-ES"/>
        </w:rPr>
        <w:t>aquí señaladas</w:t>
      </w:r>
      <w:r w:rsidRPr="008C23BF">
        <w:rPr>
          <w:rFonts w:ascii="Verdana" w:eastAsia="Times New Roman" w:hAnsi="Verdana" w:cs="Arial"/>
          <w:sz w:val="20"/>
          <w:szCs w:val="20"/>
          <w:lang w:val="es-ES" w:eastAsia="es-ES"/>
        </w:rPr>
        <w:t xml:space="preserve"> (es decir que se compromete a comprar una acción o índice de accion</w:t>
      </w:r>
      <w:r w:rsidRPr="009C60D9">
        <w:rPr>
          <w:rFonts w:ascii="Verdana" w:eastAsia="Times New Roman" w:hAnsi="Verdana" w:cs="Arial"/>
          <w:sz w:val="20"/>
          <w:szCs w:val="20"/>
          <w:lang w:val="es-ES" w:eastAsia="es-ES"/>
        </w:rPr>
        <w:t>es a un precio previamente establecido en un punto de tiempo en el futuro), esta posición se descompone en:</w:t>
      </w:r>
    </w:p>
    <w:p w14:paraId="21DC63B4"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1EE9AF8F" w14:textId="77777777" w:rsidR="00A83C87" w:rsidRPr="009C60D9" w:rsidRDefault="00A83C87" w:rsidP="000017F7">
      <w:pPr>
        <w:pStyle w:val="Prrafodelista"/>
        <w:numPr>
          <w:ilvl w:val="0"/>
          <w:numId w:val="9"/>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Una posición nocional larga en el título subyacente.</w:t>
      </w:r>
    </w:p>
    <w:p w14:paraId="0600B926"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64CBA31F" w14:textId="77777777" w:rsidR="00A83C87" w:rsidRPr="009C60D9" w:rsidRDefault="00A83C87" w:rsidP="000017F7">
      <w:pPr>
        <w:pStyle w:val="Prrafodelista"/>
        <w:numPr>
          <w:ilvl w:val="0"/>
          <w:numId w:val="9"/>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lastRenderedPageBreak/>
        <w:t xml:space="preserve">Una posición nocional corta en un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con madurez residual igual al tiempo que resta para el cumplimiento del contrato (el valor nominal de esta posición corresponde al precio pactado).</w:t>
      </w:r>
    </w:p>
    <w:p w14:paraId="733DBE91"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22C4A681" w14:textId="0B5C8925"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6</w:t>
      </w:r>
      <w:r w:rsidRPr="000E0B7B">
        <w:rPr>
          <w:rFonts w:ascii="Verdana" w:hAnsi="Verdana"/>
          <w:sz w:val="20"/>
          <w:szCs w:val="20"/>
        </w:rPr>
        <w:t>.</w:t>
      </w:r>
    </w:p>
    <w:p w14:paraId="6D34770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el caso contrario (posición corta en el futuro, el forward o la operación a plazo), la primera posición nocional descrita es corta y la segunda larga.</w:t>
      </w:r>
    </w:p>
    <w:p w14:paraId="10C660E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257FEAAA" w14:textId="18D70B4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2</w:t>
      </w:r>
      <w:r w:rsidR="00CB235B">
        <w:rPr>
          <w:rFonts w:ascii="Verdana" w:hAnsi="Verdana"/>
          <w:sz w:val="20"/>
          <w:szCs w:val="20"/>
        </w:rPr>
        <w:t>7</w:t>
      </w:r>
      <w:r w:rsidRPr="000E0B7B">
        <w:rPr>
          <w:rFonts w:ascii="Verdana" w:hAnsi="Verdana"/>
          <w:sz w:val="20"/>
          <w:szCs w:val="20"/>
        </w:rPr>
        <w:t>.</w:t>
      </w:r>
    </w:p>
    <w:p w14:paraId="375A3B7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Sólo la posición en el bono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computará en el cálculo de riesgo de tasa de interés. La posición en acciones será incluida en el módulo de Riesgo de precio de acciones.</w:t>
      </w:r>
    </w:p>
    <w:p w14:paraId="1BA76D64"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7E218D3" w14:textId="291EAB45" w:rsidR="00A83C87" w:rsidRPr="000375BC" w:rsidRDefault="00A83C87" w:rsidP="000375BC">
      <w:pPr>
        <w:pStyle w:val="Prrafodelista"/>
        <w:numPr>
          <w:ilvl w:val="0"/>
          <w:numId w:val="28"/>
        </w:numPr>
        <w:ind w:left="567" w:hanging="283"/>
        <w:jc w:val="both"/>
        <w:rPr>
          <w:rFonts w:ascii="Verdana" w:eastAsia="Times New Roman" w:hAnsi="Verdana" w:cs="Arial"/>
          <w:sz w:val="20"/>
          <w:szCs w:val="20"/>
          <w:lang w:val="es-ES" w:eastAsia="es-ES"/>
        </w:rPr>
      </w:pPr>
      <w:r w:rsidRPr="000375BC">
        <w:rPr>
          <w:rFonts w:ascii="Verdana" w:hAnsi="Verdana"/>
          <w:b/>
          <w:bCs/>
          <w:sz w:val="20"/>
          <w:szCs w:val="20"/>
        </w:rPr>
        <w:t xml:space="preserve">Operaciones </w:t>
      </w:r>
      <w:r w:rsidR="000375BC">
        <w:rPr>
          <w:rFonts w:ascii="Verdana" w:hAnsi="Verdana"/>
          <w:b/>
          <w:bCs/>
          <w:sz w:val="20"/>
          <w:szCs w:val="20"/>
        </w:rPr>
        <w:t>c</w:t>
      </w:r>
      <w:r w:rsidRPr="000375BC">
        <w:rPr>
          <w:rFonts w:ascii="Verdana" w:hAnsi="Verdana"/>
          <w:b/>
          <w:bCs/>
          <w:sz w:val="20"/>
          <w:szCs w:val="20"/>
        </w:rPr>
        <w:t>arrusel</w:t>
      </w:r>
    </w:p>
    <w:p w14:paraId="77DF23D4" w14:textId="2313BCE9"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28</w:t>
      </w:r>
      <w:r w:rsidRPr="000E0B7B">
        <w:rPr>
          <w:rFonts w:ascii="Verdana" w:hAnsi="Verdana"/>
          <w:sz w:val="20"/>
          <w:szCs w:val="20"/>
        </w:rPr>
        <w:t>.</w:t>
      </w:r>
    </w:p>
    <w:p w14:paraId="466E64C4" w14:textId="1DEFD639"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En términos financieros, un carrusel consiste en una secuencia de operaciones de compra y venta de un título a futuro. Por lo anterior, para efectos de la exposición a riesgos de mercado de que trata el presente </w:t>
      </w:r>
      <w:r w:rsidR="00461A8D">
        <w:rPr>
          <w:rFonts w:ascii="Verdana" w:eastAsia="Times New Roman" w:hAnsi="Verdana" w:cs="Arial"/>
          <w:sz w:val="20"/>
          <w:szCs w:val="20"/>
          <w:lang w:val="es-ES" w:eastAsia="es-ES"/>
        </w:rPr>
        <w:t>c</w:t>
      </w:r>
      <w:r w:rsidRPr="009C60D9">
        <w:rPr>
          <w:rFonts w:ascii="Verdana" w:eastAsia="Times New Roman" w:hAnsi="Verdana" w:cs="Arial"/>
          <w:sz w:val="20"/>
          <w:szCs w:val="20"/>
          <w:lang w:val="es-ES" w:eastAsia="es-ES"/>
        </w:rPr>
        <w:t xml:space="preserve">apítulo, estas operaciones deben ser tratadas como una serie de operaciones de compra y venta a futuro del título subyacente. Cada una de estas operaciones deberá ser tratada de acuerdo </w:t>
      </w:r>
      <w:r w:rsidR="002C5EAC" w:rsidRPr="009C60D9">
        <w:rPr>
          <w:rFonts w:ascii="Verdana" w:eastAsia="Times New Roman" w:hAnsi="Verdana" w:cs="Arial"/>
          <w:sz w:val="20"/>
          <w:szCs w:val="20"/>
          <w:lang w:val="es-ES" w:eastAsia="es-ES"/>
        </w:rPr>
        <w:t>con</w:t>
      </w:r>
      <w:r w:rsidR="002C5EAC">
        <w:rPr>
          <w:rFonts w:ascii="Verdana" w:eastAsia="Times New Roman" w:hAnsi="Verdana" w:cs="Arial"/>
          <w:sz w:val="20"/>
          <w:szCs w:val="20"/>
          <w:lang w:val="es-ES" w:eastAsia="es-ES"/>
        </w:rPr>
        <w:t xml:space="preserve"> </w:t>
      </w:r>
      <w:r w:rsidR="002C5EAC" w:rsidRPr="009C60D9">
        <w:rPr>
          <w:rFonts w:ascii="Verdana" w:eastAsia="Times New Roman" w:hAnsi="Verdana" w:cs="Arial"/>
          <w:sz w:val="20"/>
          <w:szCs w:val="20"/>
          <w:lang w:val="es-ES" w:eastAsia="es-ES"/>
        </w:rPr>
        <w:t>lo</w:t>
      </w:r>
      <w:r w:rsidR="00461A8D">
        <w:rPr>
          <w:rFonts w:ascii="Verdana" w:eastAsia="Times New Roman" w:hAnsi="Verdana" w:cs="Arial"/>
          <w:sz w:val="20"/>
          <w:szCs w:val="20"/>
          <w:lang w:val="es-ES" w:eastAsia="es-ES"/>
        </w:rPr>
        <w:t xml:space="preserve"> señalado </w:t>
      </w:r>
      <w:r w:rsidR="00461A8D" w:rsidRPr="0001596C">
        <w:rPr>
          <w:rFonts w:ascii="Verdana" w:eastAsia="Times New Roman" w:hAnsi="Verdana" w:cs="Arial"/>
          <w:sz w:val="20"/>
          <w:szCs w:val="20"/>
          <w:lang w:val="es-ES" w:eastAsia="es-ES"/>
        </w:rPr>
        <w:t>entre</w:t>
      </w:r>
      <w:r w:rsidR="00461A8D">
        <w:rPr>
          <w:rFonts w:ascii="Verdana" w:eastAsia="Times New Roman" w:hAnsi="Verdana" w:cs="Arial"/>
          <w:sz w:val="20"/>
          <w:szCs w:val="20"/>
          <w:lang w:val="es-ES" w:eastAsia="es-ES"/>
        </w:rPr>
        <w:t xml:space="preserve"> los párrafos 1.1.A8.11. y 1.1.A8.14.</w:t>
      </w:r>
    </w:p>
    <w:p w14:paraId="63738E5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0F103F2F" w14:textId="235C7AA2" w:rsidR="00A83C87" w:rsidRPr="000262FC" w:rsidRDefault="00A83C87" w:rsidP="000262FC">
      <w:pPr>
        <w:pStyle w:val="Prrafodelista"/>
        <w:numPr>
          <w:ilvl w:val="0"/>
          <w:numId w:val="28"/>
        </w:numPr>
        <w:ind w:left="567" w:hanging="283"/>
        <w:jc w:val="both"/>
        <w:rPr>
          <w:rFonts w:ascii="Verdana" w:eastAsia="Times New Roman" w:hAnsi="Verdana" w:cs="Arial"/>
          <w:sz w:val="20"/>
          <w:szCs w:val="20"/>
          <w:lang w:val="es-ES" w:eastAsia="es-ES"/>
        </w:rPr>
      </w:pPr>
      <w:r w:rsidRPr="000262FC">
        <w:rPr>
          <w:rFonts w:ascii="Verdana" w:hAnsi="Verdana"/>
          <w:b/>
          <w:bCs/>
          <w:sz w:val="20"/>
          <w:szCs w:val="20"/>
        </w:rPr>
        <w:t>Opciones</w:t>
      </w:r>
    </w:p>
    <w:p w14:paraId="7D54B960" w14:textId="1F589D5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29</w:t>
      </w:r>
      <w:r w:rsidRPr="000E0B7B">
        <w:rPr>
          <w:rFonts w:ascii="Verdana" w:hAnsi="Verdana"/>
          <w:sz w:val="20"/>
          <w:szCs w:val="20"/>
        </w:rPr>
        <w:t>.</w:t>
      </w:r>
    </w:p>
    <w:p w14:paraId="365886C5" w14:textId="1A005D26"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El tratamiento de estas operaciones se describe </w:t>
      </w:r>
      <w:r w:rsidR="0005205C">
        <w:rPr>
          <w:rFonts w:ascii="Verdana" w:eastAsia="Times New Roman" w:hAnsi="Verdana" w:cs="Arial"/>
          <w:sz w:val="20"/>
          <w:szCs w:val="20"/>
          <w:lang w:val="es-ES" w:eastAsia="es-ES"/>
        </w:rPr>
        <w:t>entre los párrafos 1.1.A8.96. y 1.1.A8.109.</w:t>
      </w:r>
    </w:p>
    <w:p w14:paraId="7D3706CF"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430D2BD5" w14:textId="5E925901"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0</w:t>
      </w:r>
      <w:r w:rsidRPr="000E0B7B">
        <w:rPr>
          <w:rFonts w:ascii="Verdana" w:hAnsi="Verdana"/>
          <w:sz w:val="20"/>
          <w:szCs w:val="20"/>
        </w:rPr>
        <w:t>.</w:t>
      </w:r>
    </w:p>
    <w:p w14:paraId="6B57754D"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valorar aquellas posiciones nocionales asimiladas a bonos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se deberán seguir las siguientes indicaciones:</w:t>
      </w:r>
    </w:p>
    <w:p w14:paraId="153BEC8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6EDE411" w14:textId="77777777" w:rsidR="00A83C87" w:rsidRPr="009C60D9" w:rsidRDefault="00A83C87" w:rsidP="000017F7">
      <w:pPr>
        <w:pStyle w:val="Prrafodelista"/>
        <w:numPr>
          <w:ilvl w:val="0"/>
          <w:numId w:val="10"/>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Cuando la posición se encuentre en moneda legal, se deberá utilizar la curva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para títulos TES tasa fija en pesos, suministrada por el proveedor de precios para valoración designado como oficial para el segmento correspondiente</w:t>
      </w:r>
    </w:p>
    <w:p w14:paraId="5F531EAA"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12CC4C55" w14:textId="77777777" w:rsidR="00A83C87" w:rsidRPr="009C60D9" w:rsidRDefault="00A83C87" w:rsidP="000017F7">
      <w:pPr>
        <w:pStyle w:val="Prrafodelista"/>
        <w:numPr>
          <w:ilvl w:val="0"/>
          <w:numId w:val="10"/>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Cuando la posición se encuentre denominada en UVR se deberá utilizar la curva </w:t>
      </w:r>
      <w:proofErr w:type="gramStart"/>
      <w:r w:rsidRPr="009C60D9">
        <w:rPr>
          <w:rFonts w:ascii="Verdana" w:eastAsia="Times New Roman" w:hAnsi="Verdana" w:cs="Arial"/>
          <w:sz w:val="20"/>
          <w:szCs w:val="20"/>
          <w:lang w:val="es-ES" w:eastAsia="es-ES"/>
        </w:rPr>
        <w:t>cero cupón</w:t>
      </w:r>
      <w:proofErr w:type="gramEnd"/>
      <w:r w:rsidRPr="009C60D9">
        <w:rPr>
          <w:rFonts w:ascii="Verdana" w:eastAsia="Times New Roman" w:hAnsi="Verdana" w:cs="Arial"/>
          <w:sz w:val="20"/>
          <w:szCs w:val="20"/>
          <w:lang w:val="es-ES" w:eastAsia="es-ES"/>
        </w:rPr>
        <w:t xml:space="preserve"> para títulos TES en UVR, suministrada por el proveedor de precios para valoración designado como oficial para el segmento correspondiente; y </w:t>
      </w:r>
    </w:p>
    <w:p w14:paraId="429913EC" w14:textId="77777777" w:rsidR="00A83C87" w:rsidRPr="009C60D9" w:rsidRDefault="00A83C87" w:rsidP="00A83C87">
      <w:pPr>
        <w:pStyle w:val="Prrafodelista"/>
        <w:spacing w:after="0" w:line="240" w:lineRule="auto"/>
        <w:ind w:left="567" w:hanging="567"/>
        <w:rPr>
          <w:rFonts w:ascii="Verdana" w:eastAsia="Times New Roman" w:hAnsi="Verdana" w:cs="Arial"/>
          <w:sz w:val="20"/>
          <w:szCs w:val="20"/>
          <w:lang w:val="es-ES" w:eastAsia="es-ES"/>
        </w:rPr>
      </w:pPr>
    </w:p>
    <w:p w14:paraId="059E23AC" w14:textId="77777777" w:rsidR="00A83C87" w:rsidRPr="009C60D9" w:rsidRDefault="00A83C87" w:rsidP="000017F7">
      <w:pPr>
        <w:pStyle w:val="Prrafodelista"/>
        <w:numPr>
          <w:ilvl w:val="0"/>
          <w:numId w:val="10"/>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 Para el caso de posiciones denominadas en moneda extranjera, la tasa de descuento aplicable es la </w:t>
      </w:r>
      <w:proofErr w:type="spellStart"/>
      <w:r w:rsidRPr="009C60D9">
        <w:rPr>
          <w:rFonts w:ascii="Verdana" w:eastAsia="Times New Roman" w:hAnsi="Verdana" w:cs="Arial"/>
          <w:i/>
          <w:iCs/>
          <w:sz w:val="20"/>
          <w:szCs w:val="20"/>
          <w:lang w:val="es-ES" w:eastAsia="es-ES"/>
        </w:rPr>
        <w:t>Secured</w:t>
      </w:r>
      <w:proofErr w:type="spellEnd"/>
      <w:r w:rsidRPr="009C60D9">
        <w:rPr>
          <w:rFonts w:ascii="Verdana" w:eastAsia="Times New Roman" w:hAnsi="Verdana" w:cs="Arial"/>
          <w:i/>
          <w:iCs/>
          <w:sz w:val="20"/>
          <w:szCs w:val="20"/>
          <w:lang w:val="es-ES" w:eastAsia="es-ES"/>
        </w:rPr>
        <w:t xml:space="preserve"> Overnight </w:t>
      </w:r>
      <w:proofErr w:type="spellStart"/>
      <w:r w:rsidRPr="009C60D9">
        <w:rPr>
          <w:rFonts w:ascii="Verdana" w:eastAsia="Times New Roman" w:hAnsi="Verdana" w:cs="Arial"/>
          <w:i/>
          <w:iCs/>
          <w:sz w:val="20"/>
          <w:szCs w:val="20"/>
          <w:lang w:val="es-ES" w:eastAsia="es-ES"/>
        </w:rPr>
        <w:t>Financing</w:t>
      </w:r>
      <w:proofErr w:type="spellEnd"/>
      <w:r w:rsidRPr="009C60D9">
        <w:rPr>
          <w:rFonts w:ascii="Verdana" w:eastAsia="Times New Roman" w:hAnsi="Verdana" w:cs="Arial"/>
          <w:i/>
          <w:iCs/>
          <w:sz w:val="20"/>
          <w:szCs w:val="20"/>
          <w:lang w:val="es-ES" w:eastAsia="es-ES"/>
        </w:rPr>
        <w:t xml:space="preserve"> Rate</w:t>
      </w:r>
      <w:r w:rsidRPr="009C60D9">
        <w:rPr>
          <w:rFonts w:ascii="Verdana" w:eastAsia="Times New Roman" w:hAnsi="Verdana" w:cs="Arial"/>
          <w:sz w:val="20"/>
          <w:szCs w:val="20"/>
          <w:lang w:val="es-ES" w:eastAsia="es-ES"/>
        </w:rPr>
        <w:t xml:space="preserve"> (SOFR). </w:t>
      </w:r>
    </w:p>
    <w:p w14:paraId="1ECB3648"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7194FA42" w14:textId="421D18AC" w:rsidR="00A83C87" w:rsidRPr="000262FC" w:rsidRDefault="00A83C87" w:rsidP="000262FC">
      <w:pPr>
        <w:pStyle w:val="Prrafodelista"/>
        <w:numPr>
          <w:ilvl w:val="0"/>
          <w:numId w:val="28"/>
        </w:numPr>
        <w:ind w:left="567" w:hanging="283"/>
        <w:jc w:val="both"/>
        <w:rPr>
          <w:rFonts w:ascii="Verdana" w:eastAsia="Times New Roman" w:hAnsi="Verdana" w:cs="Arial"/>
          <w:sz w:val="20"/>
          <w:szCs w:val="20"/>
          <w:lang w:val="es-ES" w:eastAsia="es-ES"/>
        </w:rPr>
      </w:pPr>
      <w:r w:rsidRPr="000262FC">
        <w:rPr>
          <w:rFonts w:ascii="Verdana" w:hAnsi="Verdana"/>
          <w:b/>
          <w:bCs/>
          <w:sz w:val="20"/>
          <w:szCs w:val="20"/>
        </w:rPr>
        <w:t>Notas estructuradas</w:t>
      </w:r>
    </w:p>
    <w:p w14:paraId="7B519ECC" w14:textId="153BA616"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1</w:t>
      </w:r>
      <w:r w:rsidRPr="000E0B7B">
        <w:rPr>
          <w:rFonts w:ascii="Verdana" w:hAnsi="Verdana"/>
          <w:sz w:val="20"/>
          <w:szCs w:val="20"/>
        </w:rPr>
        <w:t>.</w:t>
      </w:r>
    </w:p>
    <w:p w14:paraId="0545FCD0"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El riesgo de mercado de las notas estructuradas que puedan descomponerse en instrumentos de renta fija o variable e instrumentos derivados deberá calcularse para cada uno de sus componentes.</w:t>
      </w:r>
    </w:p>
    <w:p w14:paraId="69005F0C"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E4B44FF" w14:textId="5E9EEC9A"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2</w:t>
      </w:r>
      <w:r w:rsidRPr="000E0B7B">
        <w:rPr>
          <w:rFonts w:ascii="Verdana" w:hAnsi="Verdana"/>
          <w:sz w:val="20"/>
          <w:szCs w:val="20"/>
        </w:rPr>
        <w:t>.</w:t>
      </w:r>
    </w:p>
    <w:p w14:paraId="38A2CB38" w14:textId="36785DDD" w:rsidR="00A83C87" w:rsidRPr="00FC4992"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Cuando se trate de notas estructuradas que, de acuerdo con su valoración, puedan descomponerse, el riesgo de mercado deberá calcularse teniendo en cuenta: (i</w:t>
      </w:r>
      <w:proofErr w:type="gramStart"/>
      <w:r w:rsidRPr="009C60D9">
        <w:rPr>
          <w:rFonts w:ascii="Verdana" w:eastAsia="Times New Roman" w:hAnsi="Verdana" w:cs="Arial"/>
          <w:sz w:val="20"/>
          <w:szCs w:val="20"/>
          <w:lang w:val="es-ES" w:eastAsia="es-ES"/>
        </w:rPr>
        <w:t>)  el</w:t>
      </w:r>
      <w:proofErr w:type="gramEnd"/>
      <w:r w:rsidRPr="009C60D9">
        <w:rPr>
          <w:rFonts w:ascii="Verdana" w:eastAsia="Times New Roman" w:hAnsi="Verdana" w:cs="Arial"/>
          <w:sz w:val="20"/>
          <w:szCs w:val="20"/>
          <w:lang w:val="es-ES" w:eastAsia="es-ES"/>
        </w:rPr>
        <w:t xml:space="preserve"> módulo de tasa de interés, de acuerdo con las reglas contenidas en</w:t>
      </w:r>
      <w:r w:rsidR="00A90A08">
        <w:rPr>
          <w:rFonts w:ascii="Verdana" w:eastAsia="Times New Roman" w:hAnsi="Verdana" w:cs="Arial"/>
          <w:sz w:val="20"/>
          <w:szCs w:val="20"/>
          <w:lang w:val="es-ES" w:eastAsia="es-ES"/>
        </w:rPr>
        <w:t>tre los párrafos 1.1.A8.</w:t>
      </w:r>
      <w:r w:rsidR="00803C6D">
        <w:rPr>
          <w:rFonts w:ascii="Verdana" w:eastAsia="Times New Roman" w:hAnsi="Verdana" w:cs="Arial"/>
          <w:sz w:val="20"/>
          <w:szCs w:val="20"/>
          <w:lang w:val="es-ES" w:eastAsia="es-ES"/>
        </w:rPr>
        <w:t>40.</w:t>
      </w:r>
      <w:r w:rsidR="00A90A08">
        <w:rPr>
          <w:rFonts w:ascii="Verdana" w:eastAsia="Times New Roman" w:hAnsi="Verdana" w:cs="Arial"/>
          <w:sz w:val="20"/>
          <w:szCs w:val="20"/>
          <w:lang w:val="es-ES" w:eastAsia="es-ES"/>
        </w:rPr>
        <w:t xml:space="preserve"> y 1.1.A</w:t>
      </w:r>
      <w:r w:rsidR="00803C6D">
        <w:rPr>
          <w:rFonts w:ascii="Verdana" w:eastAsia="Times New Roman" w:hAnsi="Verdana" w:cs="Arial"/>
          <w:sz w:val="20"/>
          <w:szCs w:val="20"/>
          <w:lang w:val="es-ES" w:eastAsia="es-ES"/>
        </w:rPr>
        <w:t>8.71.</w:t>
      </w:r>
      <w:r w:rsidRPr="009C60D9">
        <w:rPr>
          <w:rFonts w:ascii="Verdana" w:eastAsia="Times New Roman" w:hAnsi="Verdana" w:cs="Arial"/>
          <w:sz w:val="20"/>
          <w:szCs w:val="20"/>
          <w:lang w:val="es-ES" w:eastAsia="es-ES"/>
        </w:rPr>
        <w:t xml:space="preserve">, cuando se trate de instrumentos de renta fija; (ii) el factor de riesgo de tasa de cambio, de acuerdo con las reglas contenidas </w:t>
      </w:r>
      <w:r w:rsidR="00CD227A" w:rsidRPr="009C60D9">
        <w:rPr>
          <w:rFonts w:ascii="Verdana" w:eastAsia="Times New Roman" w:hAnsi="Verdana" w:cs="Arial"/>
          <w:sz w:val="20"/>
          <w:szCs w:val="20"/>
          <w:lang w:val="es-ES" w:eastAsia="es-ES"/>
        </w:rPr>
        <w:t>en</w:t>
      </w:r>
      <w:r w:rsidR="00CD227A">
        <w:rPr>
          <w:rFonts w:ascii="Verdana" w:eastAsia="Times New Roman" w:hAnsi="Verdana" w:cs="Arial"/>
          <w:sz w:val="20"/>
          <w:szCs w:val="20"/>
          <w:lang w:val="es-ES" w:eastAsia="es-ES"/>
        </w:rPr>
        <w:t>tre los párrafos 1.1.A8.72. y 1.1.A8.</w:t>
      </w:r>
      <w:r w:rsidR="008B776B">
        <w:rPr>
          <w:rFonts w:ascii="Verdana" w:eastAsia="Times New Roman" w:hAnsi="Verdana" w:cs="Arial"/>
          <w:sz w:val="20"/>
          <w:szCs w:val="20"/>
          <w:lang w:val="es-ES" w:eastAsia="es-ES"/>
        </w:rPr>
        <w:t>8</w:t>
      </w:r>
      <w:r w:rsidR="00CD227A">
        <w:rPr>
          <w:rFonts w:ascii="Verdana" w:eastAsia="Times New Roman" w:hAnsi="Verdana" w:cs="Arial"/>
          <w:sz w:val="20"/>
          <w:szCs w:val="20"/>
          <w:lang w:val="es-ES" w:eastAsia="es-ES"/>
        </w:rPr>
        <w:t>1.</w:t>
      </w:r>
      <w:r w:rsidRPr="009C60D9">
        <w:rPr>
          <w:rFonts w:ascii="Verdana" w:eastAsia="Times New Roman" w:hAnsi="Verdana" w:cs="Arial"/>
          <w:sz w:val="20"/>
          <w:szCs w:val="20"/>
          <w:lang w:val="es-ES" w:eastAsia="es-ES"/>
        </w:rPr>
        <w:t>; (iii) el</w:t>
      </w:r>
      <w:r w:rsidRPr="009C60D9" w:rsidDel="00D60341">
        <w:rPr>
          <w:rFonts w:ascii="Verdana" w:eastAsia="Times New Roman" w:hAnsi="Verdana" w:cs="Arial"/>
          <w:sz w:val="20"/>
          <w:szCs w:val="20"/>
          <w:lang w:val="es-ES" w:eastAsia="es-ES"/>
        </w:rPr>
        <w:t xml:space="preserve"> </w:t>
      </w:r>
      <w:r w:rsidRPr="009C60D9">
        <w:rPr>
          <w:rFonts w:ascii="Verdana" w:eastAsia="Times New Roman" w:hAnsi="Verdana" w:cs="Arial"/>
          <w:sz w:val="20"/>
          <w:szCs w:val="20"/>
          <w:lang w:val="es-ES" w:eastAsia="es-ES"/>
        </w:rPr>
        <w:t>factor de riesgo de precio de acciones o índice accionario, de acuerdo con las reglas cont</w:t>
      </w:r>
      <w:r w:rsidRPr="009075EB">
        <w:rPr>
          <w:rFonts w:ascii="Verdana" w:eastAsia="Times New Roman" w:hAnsi="Verdana" w:cs="Arial"/>
          <w:sz w:val="20"/>
          <w:szCs w:val="20"/>
          <w:lang w:val="es-ES" w:eastAsia="es-ES"/>
        </w:rPr>
        <w:t xml:space="preserve">enidas </w:t>
      </w:r>
      <w:r w:rsidR="008B776B" w:rsidRPr="009075EB">
        <w:rPr>
          <w:rFonts w:ascii="Verdana" w:eastAsia="Times New Roman" w:hAnsi="Verdana" w:cs="Arial"/>
          <w:sz w:val="20"/>
          <w:szCs w:val="20"/>
          <w:lang w:val="es-ES" w:eastAsia="es-ES"/>
        </w:rPr>
        <w:t>entre los párrafos 1.1.A8.82. y 1.1.A8.90.</w:t>
      </w:r>
      <w:r w:rsidRPr="009075EB">
        <w:rPr>
          <w:rFonts w:ascii="Verdana" w:eastAsia="Times New Roman" w:hAnsi="Verdana" w:cs="Arial"/>
          <w:sz w:val="20"/>
          <w:szCs w:val="20"/>
          <w:lang w:val="es-ES" w:eastAsia="es-ES"/>
        </w:rPr>
        <w:t xml:space="preserve">, para el caso de instrumentos de renta variable; y (iv) el factor de riesgo de operaciones de derivados de crédito, de acuerdo con las reglas contenidas </w:t>
      </w:r>
      <w:r w:rsidR="009075EB" w:rsidRPr="009075EB">
        <w:rPr>
          <w:rFonts w:ascii="Verdana" w:eastAsia="Times New Roman" w:hAnsi="Verdana" w:cs="Arial"/>
          <w:sz w:val="20"/>
          <w:szCs w:val="20"/>
          <w:lang w:val="es-ES" w:eastAsia="es-ES"/>
        </w:rPr>
        <w:t>en los párrafos 1.1.A8.110. y 1.1.A8.111.</w:t>
      </w:r>
    </w:p>
    <w:p w14:paraId="585B025A"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6C3C943B" w14:textId="00DC250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3</w:t>
      </w:r>
      <w:r w:rsidRPr="000E0B7B">
        <w:rPr>
          <w:rFonts w:ascii="Verdana" w:hAnsi="Verdana"/>
          <w:sz w:val="20"/>
          <w:szCs w:val="20"/>
        </w:rPr>
        <w:t>.</w:t>
      </w:r>
    </w:p>
    <w:p w14:paraId="6B0F8382" w14:textId="7BD00EED"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Cuando se trate de notas estructuradas que, de acuerdo con su valoración, no puedan descomponerse y se asemejen en su comportamiento y estructura a una opción, el riesgo de mercado deberá calcularse de acuerdo con las reglas contenidas </w:t>
      </w:r>
      <w:r w:rsidR="00B41657" w:rsidRPr="009C60D9">
        <w:rPr>
          <w:rFonts w:ascii="Verdana" w:eastAsia="Times New Roman" w:hAnsi="Verdana" w:cs="Arial"/>
          <w:sz w:val="20"/>
          <w:szCs w:val="20"/>
          <w:lang w:val="es-ES" w:eastAsia="es-ES"/>
        </w:rPr>
        <w:t>en</w:t>
      </w:r>
      <w:r w:rsidR="00B41657">
        <w:rPr>
          <w:rFonts w:ascii="Verdana" w:eastAsia="Times New Roman" w:hAnsi="Verdana" w:cs="Arial"/>
          <w:sz w:val="20"/>
          <w:szCs w:val="20"/>
          <w:lang w:val="es-ES" w:eastAsia="es-ES"/>
        </w:rPr>
        <w:t>tre los párrafos 1.1.A8.</w:t>
      </w:r>
      <w:r w:rsidR="00510B47">
        <w:rPr>
          <w:rFonts w:ascii="Verdana" w:eastAsia="Times New Roman" w:hAnsi="Verdana" w:cs="Arial"/>
          <w:sz w:val="20"/>
          <w:szCs w:val="20"/>
          <w:lang w:val="es-ES" w:eastAsia="es-ES"/>
        </w:rPr>
        <w:t>96</w:t>
      </w:r>
      <w:r w:rsidR="00B41657">
        <w:rPr>
          <w:rFonts w:ascii="Verdana" w:eastAsia="Times New Roman" w:hAnsi="Verdana" w:cs="Arial"/>
          <w:sz w:val="20"/>
          <w:szCs w:val="20"/>
          <w:lang w:val="es-ES" w:eastAsia="es-ES"/>
        </w:rPr>
        <w:t>. y 1.1.A8.</w:t>
      </w:r>
      <w:r w:rsidR="00510B47">
        <w:rPr>
          <w:rFonts w:ascii="Verdana" w:eastAsia="Times New Roman" w:hAnsi="Verdana" w:cs="Arial"/>
          <w:sz w:val="20"/>
          <w:szCs w:val="20"/>
          <w:lang w:val="es-ES" w:eastAsia="es-ES"/>
        </w:rPr>
        <w:t>109</w:t>
      </w:r>
      <w:r w:rsidR="00B41657">
        <w:rPr>
          <w:rFonts w:ascii="Verdana" w:eastAsia="Times New Roman" w:hAnsi="Verdana" w:cs="Arial"/>
          <w:sz w:val="20"/>
          <w:szCs w:val="20"/>
          <w:lang w:val="es-ES" w:eastAsia="es-ES"/>
        </w:rPr>
        <w:t>.</w:t>
      </w:r>
    </w:p>
    <w:p w14:paraId="4D34F79B" w14:textId="77777777" w:rsidR="00A83C87" w:rsidRDefault="00A83C87" w:rsidP="00A83C87">
      <w:pPr>
        <w:spacing w:after="0" w:line="240" w:lineRule="auto"/>
        <w:ind w:left="284"/>
        <w:jc w:val="both"/>
        <w:rPr>
          <w:rFonts w:ascii="Verdana" w:eastAsia="Times New Roman" w:hAnsi="Verdana" w:cs="Arial"/>
          <w:sz w:val="20"/>
          <w:szCs w:val="20"/>
          <w:lang w:val="es-ES" w:eastAsia="es-ES"/>
        </w:rPr>
      </w:pPr>
    </w:p>
    <w:p w14:paraId="27AA96D8" w14:textId="77777777" w:rsidR="00F34BDF" w:rsidRPr="009C60D9" w:rsidRDefault="00F34BDF" w:rsidP="00A83C87">
      <w:pPr>
        <w:spacing w:after="0" w:line="240" w:lineRule="auto"/>
        <w:ind w:left="284"/>
        <w:jc w:val="both"/>
        <w:rPr>
          <w:rFonts w:ascii="Verdana" w:eastAsia="Times New Roman" w:hAnsi="Verdana" w:cs="Arial"/>
          <w:sz w:val="20"/>
          <w:szCs w:val="20"/>
          <w:lang w:val="es-ES" w:eastAsia="es-ES"/>
        </w:rPr>
      </w:pPr>
    </w:p>
    <w:p w14:paraId="52B80641" w14:textId="2B477798" w:rsidR="00A83C87" w:rsidRPr="000262FC" w:rsidRDefault="00A83C87" w:rsidP="000262FC">
      <w:pPr>
        <w:pStyle w:val="Prrafodelista"/>
        <w:numPr>
          <w:ilvl w:val="0"/>
          <w:numId w:val="28"/>
        </w:numPr>
        <w:ind w:left="567" w:hanging="283"/>
        <w:jc w:val="both"/>
        <w:rPr>
          <w:rFonts w:ascii="Verdana" w:eastAsia="Times New Roman" w:hAnsi="Verdana" w:cs="Arial"/>
          <w:sz w:val="20"/>
          <w:szCs w:val="20"/>
          <w:lang w:val="es-ES" w:eastAsia="es-ES"/>
        </w:rPr>
      </w:pPr>
      <w:r w:rsidRPr="000262FC">
        <w:rPr>
          <w:rFonts w:ascii="Verdana" w:hAnsi="Verdana"/>
          <w:b/>
          <w:bCs/>
          <w:sz w:val="20"/>
          <w:szCs w:val="20"/>
        </w:rPr>
        <w:lastRenderedPageBreak/>
        <w:t>Inversiones clasificadas hasta el vencimiento entregadas como garantías.</w:t>
      </w:r>
    </w:p>
    <w:p w14:paraId="78D4C90C" w14:textId="3277FEA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4</w:t>
      </w:r>
      <w:r w:rsidRPr="000E0B7B">
        <w:rPr>
          <w:rFonts w:ascii="Verdana" w:hAnsi="Verdana"/>
          <w:sz w:val="20"/>
          <w:szCs w:val="20"/>
        </w:rPr>
        <w:t>.</w:t>
      </w:r>
    </w:p>
    <w:p w14:paraId="1631BE9C"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Las inversiones que sean entregadas como garantías en una cámara de riesgo central de contraparte con el fin de respaldar el cumplimiento de las operaciones aceptadas para su compensación y liquidación deberán ser tenidas en cuenta para el cálculo de la exposición al riesgo de tasa de interés, por su valor de mercado, independientemente de su clasificación contable.</w:t>
      </w:r>
    </w:p>
    <w:p w14:paraId="0D6A13DB"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7F7246B9" w14:textId="7E62B32A"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5</w:t>
      </w:r>
      <w:r w:rsidRPr="000E0B7B">
        <w:rPr>
          <w:rFonts w:ascii="Verdana" w:hAnsi="Verdana"/>
          <w:sz w:val="20"/>
          <w:szCs w:val="20"/>
        </w:rPr>
        <w:t>.</w:t>
      </w:r>
    </w:p>
    <w:p w14:paraId="5E101E0B"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Así mismo, en el evento en que estas inversiones estén expresadas en moneda diferente a moneda legal, deberán tenerse en cuenta adicionalmente en el cálculo de la exposición al riesgo de tasa de cambio.</w:t>
      </w:r>
    </w:p>
    <w:p w14:paraId="2B5D6922"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731CB315" w14:textId="243C74F1" w:rsidR="00A83C87" w:rsidRPr="008518A0" w:rsidRDefault="00A83C87" w:rsidP="008518A0">
      <w:pPr>
        <w:pStyle w:val="Prrafodelista"/>
        <w:numPr>
          <w:ilvl w:val="0"/>
          <w:numId w:val="27"/>
        </w:numPr>
        <w:ind w:left="284" w:hanging="284"/>
        <w:jc w:val="both"/>
        <w:rPr>
          <w:rFonts w:ascii="Verdana" w:eastAsia="Times New Roman" w:hAnsi="Verdana" w:cs="Arial"/>
          <w:sz w:val="20"/>
          <w:szCs w:val="20"/>
          <w:lang w:val="es-ES" w:eastAsia="es-ES"/>
        </w:rPr>
      </w:pPr>
      <w:r w:rsidRPr="008518A0">
        <w:rPr>
          <w:rFonts w:ascii="Verdana" w:hAnsi="Verdana"/>
          <w:b/>
          <w:bCs/>
          <w:sz w:val="20"/>
          <w:szCs w:val="20"/>
        </w:rPr>
        <w:t>Operaciones de reporto o repo, operaciones simultáneas y operaciones de transferencia temporal de valores</w:t>
      </w:r>
    </w:p>
    <w:p w14:paraId="2F0F31B4" w14:textId="71FFCC0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6</w:t>
      </w:r>
      <w:r w:rsidRPr="000E0B7B">
        <w:rPr>
          <w:rFonts w:ascii="Verdana" w:hAnsi="Verdana"/>
          <w:sz w:val="20"/>
          <w:szCs w:val="20"/>
        </w:rPr>
        <w:t>.</w:t>
      </w:r>
    </w:p>
    <w:p w14:paraId="74F290A4" w14:textId="2807D60B"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Las operaciones </w:t>
      </w:r>
      <w:r w:rsidR="00266D64" w:rsidRPr="00266D64">
        <w:rPr>
          <w:rFonts w:ascii="Verdana" w:eastAsia="Times New Roman" w:hAnsi="Verdana" w:cs="Arial"/>
          <w:sz w:val="20"/>
          <w:szCs w:val="20"/>
          <w:lang w:val="es-ES" w:eastAsia="es-ES"/>
        </w:rPr>
        <w:t>reporto o repo, operaciones simultáneas y operaciones de transferencia temporal de valores</w:t>
      </w:r>
      <w:r w:rsidRPr="00266D64">
        <w:rPr>
          <w:rFonts w:ascii="Verdana" w:eastAsia="Times New Roman" w:hAnsi="Verdana" w:cs="Arial"/>
          <w:sz w:val="20"/>
          <w:szCs w:val="20"/>
          <w:lang w:val="es-ES" w:eastAsia="es-ES"/>
        </w:rPr>
        <w:t xml:space="preserve"> generan un intercambio</w:t>
      </w:r>
      <w:r w:rsidRPr="009C60D9">
        <w:rPr>
          <w:rFonts w:ascii="Verdana" w:eastAsia="Times New Roman" w:hAnsi="Verdana" w:cs="Arial"/>
          <w:sz w:val="20"/>
          <w:szCs w:val="20"/>
          <w:lang w:val="es-ES" w:eastAsia="es-ES"/>
        </w:rPr>
        <w:t xml:space="preserve"> de valores y de dinero entre las partes, con el compromiso de reversarlo al final de la operación.</w:t>
      </w:r>
    </w:p>
    <w:p w14:paraId="18A3E402"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626EE117" w14:textId="1927E38A"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3</w:t>
      </w:r>
      <w:r w:rsidR="00CB235B">
        <w:rPr>
          <w:rFonts w:ascii="Verdana" w:hAnsi="Verdana"/>
          <w:sz w:val="20"/>
          <w:szCs w:val="20"/>
        </w:rPr>
        <w:t>7</w:t>
      </w:r>
      <w:r w:rsidRPr="000E0B7B">
        <w:rPr>
          <w:rFonts w:ascii="Verdana" w:hAnsi="Verdana"/>
          <w:sz w:val="20"/>
          <w:szCs w:val="20"/>
        </w:rPr>
        <w:t>.</w:t>
      </w:r>
    </w:p>
    <w:p w14:paraId="52BE0A51" w14:textId="77777777" w:rsidR="00A83C87"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En las operaciones de reporto o repo (repo) y simultáneas, el “Enajenante” le entrega valores al “Adquirente”, y al hacerlo le transfiere la propiedad de éstos. A cambio, el “Adquirente” le entrega dinero al “Enajenante”. De manera análoga, en las operaciones de transferencia temporal de valores el “Originador” le entrega valores al “Receptor” y, al hacerlo, le transfiere la propiedad de éstos. A cambio, el “Receptor” le entrega dinero o valores al “Originador”, en cuyo caso también se transfiere la propiedad</w:t>
      </w:r>
      <w:r>
        <w:rPr>
          <w:rFonts w:ascii="Verdana" w:eastAsia="Times New Roman" w:hAnsi="Verdana" w:cs="Arial"/>
          <w:sz w:val="20"/>
          <w:szCs w:val="20"/>
          <w:lang w:val="es-ES" w:eastAsia="es-ES"/>
        </w:rPr>
        <w:t>.</w:t>
      </w:r>
    </w:p>
    <w:p w14:paraId="5F9EB2E5"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6641E37D" w14:textId="459B670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38</w:t>
      </w:r>
      <w:r w:rsidRPr="000E0B7B">
        <w:rPr>
          <w:rFonts w:ascii="Verdana" w:hAnsi="Verdana"/>
          <w:sz w:val="20"/>
          <w:szCs w:val="20"/>
        </w:rPr>
        <w:t>.</w:t>
      </w:r>
    </w:p>
    <w:p w14:paraId="08C12C9F" w14:textId="34B50982"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Dado que en las 3 operaciones mencionadas la vocación del valor es regresar a manos del “Enajenante”, del “Originador” o del “Receptor”, según sea el caso, la realidad financiera de la operación exige que el riesgo </w:t>
      </w:r>
      <w:r w:rsidR="000C69F9">
        <w:rPr>
          <w:rFonts w:ascii="Verdana" w:eastAsia="Times New Roman" w:hAnsi="Verdana" w:cs="Arial"/>
          <w:sz w:val="20"/>
          <w:szCs w:val="20"/>
          <w:lang w:val="es-ES" w:eastAsia="es-ES"/>
        </w:rPr>
        <w:t xml:space="preserve">se mantenga </w:t>
      </w:r>
      <w:r w:rsidRPr="009C60D9">
        <w:rPr>
          <w:rFonts w:ascii="Verdana" w:eastAsia="Times New Roman" w:hAnsi="Verdana" w:cs="Arial"/>
          <w:sz w:val="20"/>
          <w:szCs w:val="20"/>
          <w:lang w:val="es-ES" w:eastAsia="es-ES"/>
        </w:rPr>
        <w:t>en el balance de las entidades que entregaron los valores.</w:t>
      </w:r>
    </w:p>
    <w:p w14:paraId="75D98D0D"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6051BE4" w14:textId="3596BB53" w:rsidR="00A83C87" w:rsidRPr="00C566C7"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39</w:t>
      </w:r>
      <w:r w:rsidRPr="00C566C7">
        <w:rPr>
          <w:rFonts w:ascii="Verdana" w:hAnsi="Verdana"/>
          <w:sz w:val="20"/>
          <w:szCs w:val="20"/>
        </w:rPr>
        <w:t>.</w:t>
      </w:r>
    </w:p>
    <w:p w14:paraId="48E7AAD4" w14:textId="13CB6E28" w:rsidR="00070042" w:rsidRDefault="00A83C87" w:rsidP="00070042">
      <w:pPr>
        <w:spacing w:after="0" w:line="240" w:lineRule="auto"/>
        <w:jc w:val="both"/>
        <w:rPr>
          <w:rFonts w:ascii="Verdana" w:eastAsia="Times New Roman" w:hAnsi="Verdana" w:cs="Arial"/>
          <w:sz w:val="20"/>
          <w:szCs w:val="20"/>
          <w:lang w:val="es-ES" w:eastAsia="es-ES"/>
        </w:rPr>
      </w:pPr>
      <w:r w:rsidRPr="00C566C7">
        <w:rPr>
          <w:rFonts w:ascii="Verdana" w:eastAsia="Times New Roman" w:hAnsi="Verdana" w:cs="Arial"/>
          <w:sz w:val="20"/>
          <w:szCs w:val="20"/>
          <w:lang w:val="es-ES" w:eastAsia="es-ES"/>
        </w:rPr>
        <w:t xml:space="preserve">Teniendo en cuenta </w:t>
      </w:r>
      <w:r w:rsidR="00C566C7" w:rsidRPr="00C566C7">
        <w:rPr>
          <w:rFonts w:ascii="Verdana" w:eastAsia="Times New Roman" w:hAnsi="Verdana" w:cs="Arial"/>
          <w:sz w:val="20"/>
          <w:szCs w:val="20"/>
          <w:lang w:val="es-ES" w:eastAsia="es-ES"/>
        </w:rPr>
        <w:t xml:space="preserve">lo </w:t>
      </w:r>
      <w:r w:rsidRPr="00C566C7">
        <w:rPr>
          <w:rFonts w:ascii="Verdana" w:eastAsia="Times New Roman" w:hAnsi="Verdana" w:cs="Arial"/>
          <w:sz w:val="20"/>
          <w:szCs w:val="20"/>
          <w:lang w:val="es-ES" w:eastAsia="es-ES"/>
        </w:rPr>
        <w:t xml:space="preserve">anterior, para efectos del cálculo de la exposición a los riesgos de mercado las posiciones en las operaciones </w:t>
      </w:r>
      <w:r w:rsidR="00C566C7" w:rsidRPr="00C566C7">
        <w:rPr>
          <w:rFonts w:ascii="Verdana" w:eastAsia="Times New Roman" w:hAnsi="Verdana" w:cs="Arial"/>
          <w:sz w:val="20"/>
          <w:szCs w:val="20"/>
          <w:lang w:val="es-ES" w:eastAsia="es-ES"/>
        </w:rPr>
        <w:t>aquí señaladas</w:t>
      </w:r>
      <w:r w:rsidRPr="00C566C7">
        <w:rPr>
          <w:rFonts w:ascii="Verdana" w:eastAsia="Times New Roman" w:hAnsi="Verdana" w:cs="Arial"/>
          <w:sz w:val="20"/>
          <w:szCs w:val="20"/>
          <w:lang w:val="es-ES" w:eastAsia="es-ES"/>
        </w:rPr>
        <w:t xml:space="preserve"> deben ser tenidas en cuenta de acuerdo con las siguientes instrucciones:</w:t>
      </w:r>
    </w:p>
    <w:p w14:paraId="36B91DAC" w14:textId="77777777" w:rsidR="00070042" w:rsidRDefault="00070042" w:rsidP="00070042">
      <w:pPr>
        <w:spacing w:after="0" w:line="240" w:lineRule="auto"/>
        <w:jc w:val="both"/>
        <w:rPr>
          <w:rFonts w:ascii="Verdana" w:eastAsia="Times New Roman" w:hAnsi="Verdana" w:cs="Arial"/>
          <w:sz w:val="20"/>
          <w:szCs w:val="20"/>
          <w:lang w:val="es-ES" w:eastAsia="es-ES"/>
        </w:rPr>
      </w:pPr>
    </w:p>
    <w:p w14:paraId="1EC3240B" w14:textId="77777777" w:rsidR="00070042" w:rsidRDefault="00A83C87" w:rsidP="00070042">
      <w:pPr>
        <w:pStyle w:val="Prrafodelista"/>
        <w:numPr>
          <w:ilvl w:val="0"/>
          <w:numId w:val="30"/>
        </w:numPr>
        <w:spacing w:after="0" w:line="240" w:lineRule="auto"/>
        <w:ind w:left="567" w:hanging="567"/>
        <w:jc w:val="both"/>
        <w:rPr>
          <w:rFonts w:ascii="Verdana" w:eastAsia="Times New Roman" w:hAnsi="Verdana" w:cs="Arial"/>
          <w:sz w:val="20"/>
          <w:szCs w:val="20"/>
          <w:lang w:val="es-ES" w:eastAsia="es-ES"/>
        </w:rPr>
      </w:pPr>
      <w:r w:rsidRPr="00070042">
        <w:rPr>
          <w:rFonts w:ascii="Verdana" w:eastAsia="Times New Roman" w:hAnsi="Verdana" w:cs="Arial"/>
          <w:sz w:val="20"/>
          <w:szCs w:val="20"/>
          <w:lang w:val="es-ES" w:eastAsia="es-ES"/>
        </w:rPr>
        <w:t>Los valores entregados en desarrollo de las 3 operaciones mencionadas deben ser tenidos en cuenta, por su valor de mercado, independientemente de su clasificación contable, para efectos de los cálculos de los riesgos de mercado del agente que los entregó al principio de la operación. Se exceptúan los valores obtenidos previamente a través de cualquiera de las operaciones mencionadas.</w:t>
      </w:r>
    </w:p>
    <w:p w14:paraId="25174F7A" w14:textId="77777777" w:rsidR="00070042" w:rsidRDefault="00070042" w:rsidP="00070042">
      <w:pPr>
        <w:pStyle w:val="Prrafodelista"/>
        <w:spacing w:after="0" w:line="240" w:lineRule="auto"/>
        <w:ind w:left="567"/>
        <w:jc w:val="both"/>
        <w:rPr>
          <w:rFonts w:ascii="Verdana" w:eastAsia="Times New Roman" w:hAnsi="Verdana" w:cs="Arial"/>
          <w:sz w:val="20"/>
          <w:szCs w:val="20"/>
          <w:lang w:val="es-ES" w:eastAsia="es-ES"/>
        </w:rPr>
      </w:pPr>
    </w:p>
    <w:p w14:paraId="4E688377" w14:textId="77260E38" w:rsidR="00070042" w:rsidRDefault="00A83C87" w:rsidP="00070042">
      <w:pPr>
        <w:pStyle w:val="Prrafodelista"/>
        <w:numPr>
          <w:ilvl w:val="0"/>
          <w:numId w:val="30"/>
        </w:numPr>
        <w:spacing w:after="0" w:line="240" w:lineRule="auto"/>
        <w:ind w:left="567" w:hanging="567"/>
        <w:jc w:val="both"/>
        <w:rPr>
          <w:rFonts w:ascii="Verdana" w:eastAsia="Times New Roman" w:hAnsi="Verdana" w:cs="Arial"/>
          <w:sz w:val="20"/>
          <w:szCs w:val="20"/>
          <w:lang w:val="es-ES" w:eastAsia="es-ES"/>
        </w:rPr>
      </w:pPr>
      <w:r w:rsidRPr="00070042">
        <w:rPr>
          <w:rFonts w:ascii="Verdana" w:eastAsia="Times New Roman" w:hAnsi="Verdana" w:cs="Arial"/>
          <w:sz w:val="20"/>
          <w:szCs w:val="20"/>
          <w:lang w:val="es-ES" w:eastAsia="es-ES"/>
        </w:rPr>
        <w:t xml:space="preserve">En los casos en los que una entidad actuando como adquirente en una operación repo o en una operación simultánea venda de manera definitiva a través de operaciones de contado los valores objeto de la operación, o los entregue como enajenante en una nueva operación repo, simultánea o transferencia temporal de valores, la posición corta o la posición pasiva resultante debe ser tenida en cuenta para efectos de los cálculos de la exposición a riesgos de mercado de que trata el presente </w:t>
      </w:r>
      <w:r w:rsidR="000545A3">
        <w:rPr>
          <w:rFonts w:ascii="Verdana" w:eastAsia="Times New Roman" w:hAnsi="Verdana" w:cs="Arial"/>
          <w:sz w:val="20"/>
          <w:szCs w:val="20"/>
          <w:lang w:val="es-ES" w:eastAsia="es-ES"/>
        </w:rPr>
        <w:t>c</w:t>
      </w:r>
      <w:r w:rsidRPr="00070042">
        <w:rPr>
          <w:rFonts w:ascii="Verdana" w:eastAsia="Times New Roman" w:hAnsi="Verdana" w:cs="Arial"/>
          <w:sz w:val="20"/>
          <w:szCs w:val="20"/>
          <w:lang w:val="es-ES" w:eastAsia="es-ES"/>
        </w:rPr>
        <w:t>apítulo.</w:t>
      </w:r>
    </w:p>
    <w:p w14:paraId="1A8846F9" w14:textId="77777777" w:rsidR="00070042" w:rsidRPr="00070042" w:rsidRDefault="00070042" w:rsidP="00070042">
      <w:pPr>
        <w:pStyle w:val="Prrafodelista"/>
        <w:rPr>
          <w:rFonts w:ascii="Verdana" w:eastAsia="Times New Roman" w:hAnsi="Verdana" w:cs="Arial"/>
          <w:sz w:val="20"/>
          <w:szCs w:val="20"/>
          <w:lang w:val="es-ES" w:eastAsia="es-ES"/>
        </w:rPr>
      </w:pPr>
    </w:p>
    <w:p w14:paraId="5C18F1B0" w14:textId="77777777" w:rsidR="00070042" w:rsidRDefault="00A83C87" w:rsidP="00070042">
      <w:pPr>
        <w:pStyle w:val="Prrafodelista"/>
        <w:numPr>
          <w:ilvl w:val="0"/>
          <w:numId w:val="30"/>
        </w:numPr>
        <w:spacing w:after="0" w:line="240" w:lineRule="auto"/>
        <w:ind w:left="567" w:hanging="567"/>
        <w:jc w:val="both"/>
        <w:rPr>
          <w:rFonts w:ascii="Verdana" w:eastAsia="Times New Roman" w:hAnsi="Verdana" w:cs="Arial"/>
          <w:sz w:val="20"/>
          <w:szCs w:val="20"/>
          <w:lang w:val="es-ES" w:eastAsia="es-ES"/>
        </w:rPr>
      </w:pPr>
      <w:r w:rsidRPr="00070042">
        <w:rPr>
          <w:rFonts w:ascii="Verdana" w:eastAsia="Times New Roman" w:hAnsi="Verdana" w:cs="Arial"/>
          <w:sz w:val="20"/>
          <w:szCs w:val="20"/>
          <w:lang w:val="es-ES" w:eastAsia="es-ES"/>
        </w:rPr>
        <w:t>Igual tratamiento recibirán las posiciones cortas o posiciones pasivas resultantes en los casos en los cuales cualquiera de las partes involucradas en una transferencia temporal de valores venda de manera definitiva a través de operaciones de contado los valores que recibió en desarrollo de la mencionada operación, o los entregue como enajenante en una nueva operación repo, simultánea o transferencia temporal de valores.</w:t>
      </w:r>
    </w:p>
    <w:p w14:paraId="43FCC4C1" w14:textId="77777777" w:rsidR="00070042" w:rsidRPr="00070042" w:rsidRDefault="00070042" w:rsidP="00070042">
      <w:pPr>
        <w:pStyle w:val="Prrafodelista"/>
        <w:rPr>
          <w:rFonts w:ascii="Verdana" w:eastAsia="Times New Roman" w:hAnsi="Verdana" w:cs="Arial"/>
          <w:sz w:val="20"/>
          <w:szCs w:val="20"/>
          <w:lang w:val="es-ES" w:eastAsia="es-ES"/>
        </w:rPr>
      </w:pPr>
    </w:p>
    <w:p w14:paraId="131B7C5A" w14:textId="7C57E546" w:rsidR="00A83C87" w:rsidRPr="00070042" w:rsidRDefault="00A83C87" w:rsidP="00070042">
      <w:pPr>
        <w:pStyle w:val="Prrafodelista"/>
        <w:numPr>
          <w:ilvl w:val="0"/>
          <w:numId w:val="30"/>
        </w:numPr>
        <w:spacing w:after="0" w:line="240" w:lineRule="auto"/>
        <w:ind w:left="567" w:hanging="567"/>
        <w:jc w:val="both"/>
        <w:rPr>
          <w:rFonts w:ascii="Verdana" w:eastAsia="Times New Roman" w:hAnsi="Verdana" w:cs="Arial"/>
          <w:sz w:val="20"/>
          <w:szCs w:val="20"/>
          <w:lang w:val="es-ES" w:eastAsia="es-ES"/>
        </w:rPr>
      </w:pPr>
      <w:r w:rsidRPr="00070042">
        <w:rPr>
          <w:rFonts w:ascii="Verdana" w:eastAsia="Times New Roman" w:hAnsi="Verdana" w:cs="Arial"/>
          <w:sz w:val="20"/>
          <w:szCs w:val="20"/>
          <w:lang w:val="es-ES" w:eastAsia="es-ES"/>
        </w:rPr>
        <w:t xml:space="preserve">En todo caso, las entidades vigiladas deberán seguir las instrucciones señaladas en </w:t>
      </w:r>
      <w:r w:rsidR="00E614B2">
        <w:rPr>
          <w:rFonts w:ascii="Verdana" w:eastAsia="Times New Roman" w:hAnsi="Verdana" w:cs="Arial"/>
          <w:sz w:val="20"/>
          <w:szCs w:val="20"/>
          <w:lang w:val="es-ES" w:eastAsia="es-ES"/>
        </w:rPr>
        <w:t xml:space="preserve">la sección 1 del capítulo 7 de la parte 3 de la </w:t>
      </w:r>
      <w:r w:rsidR="008A1A25">
        <w:rPr>
          <w:rFonts w:ascii="Verdana" w:eastAsia="Times New Roman" w:hAnsi="Verdana" w:cs="Arial"/>
          <w:sz w:val="20"/>
          <w:szCs w:val="20"/>
          <w:lang w:val="es-ES" w:eastAsia="es-ES"/>
        </w:rPr>
        <w:t>CBF</w:t>
      </w:r>
      <w:r w:rsidR="00E614B2">
        <w:rPr>
          <w:rFonts w:ascii="Verdana" w:eastAsia="Times New Roman" w:hAnsi="Verdana" w:cs="Arial"/>
          <w:sz w:val="20"/>
          <w:szCs w:val="20"/>
          <w:lang w:val="es-ES" w:eastAsia="es-ES"/>
        </w:rPr>
        <w:t xml:space="preserve"> </w:t>
      </w:r>
      <w:r w:rsidRPr="00E614B2">
        <w:rPr>
          <w:rFonts w:ascii="Verdana" w:eastAsia="Times New Roman" w:hAnsi="Verdana" w:cs="Arial"/>
          <w:sz w:val="20"/>
          <w:szCs w:val="20"/>
          <w:lang w:val="es-ES" w:eastAsia="es-ES"/>
        </w:rPr>
        <w:t>con</w:t>
      </w:r>
      <w:r w:rsidRPr="00070042">
        <w:rPr>
          <w:rFonts w:ascii="Verdana" w:eastAsia="Times New Roman" w:hAnsi="Verdana" w:cs="Arial"/>
          <w:sz w:val="20"/>
          <w:szCs w:val="20"/>
          <w:lang w:val="es-ES" w:eastAsia="es-ES"/>
        </w:rPr>
        <w:t xml:space="preserve"> el fin de medir la exposición de riesgo de mercado de las operaciones de contado.</w:t>
      </w:r>
    </w:p>
    <w:p w14:paraId="207E4D8F" w14:textId="77777777" w:rsidR="00A83C87" w:rsidRDefault="00A83C87" w:rsidP="00A83C87">
      <w:pPr>
        <w:spacing w:after="0" w:line="240" w:lineRule="auto"/>
        <w:contextualSpacing/>
        <w:jc w:val="both"/>
        <w:rPr>
          <w:rFonts w:ascii="Verdana" w:eastAsia="Times New Roman" w:hAnsi="Verdana" w:cs="Arial"/>
          <w:b/>
          <w:sz w:val="20"/>
          <w:szCs w:val="20"/>
          <w:lang w:val="es-ES" w:eastAsia="es-ES"/>
        </w:rPr>
      </w:pPr>
    </w:p>
    <w:p w14:paraId="0D5C4EA4" w14:textId="77777777" w:rsidR="0096756C" w:rsidRDefault="0096756C" w:rsidP="00A83C87">
      <w:pPr>
        <w:spacing w:after="0" w:line="240" w:lineRule="auto"/>
        <w:contextualSpacing/>
        <w:jc w:val="both"/>
        <w:rPr>
          <w:rFonts w:ascii="Verdana" w:eastAsia="Times New Roman" w:hAnsi="Verdana" w:cs="Arial"/>
          <w:b/>
          <w:sz w:val="20"/>
          <w:szCs w:val="20"/>
          <w:lang w:val="es-ES" w:eastAsia="es-ES"/>
        </w:rPr>
      </w:pPr>
    </w:p>
    <w:p w14:paraId="56B1428E" w14:textId="77777777" w:rsidR="0096756C" w:rsidRDefault="0096756C" w:rsidP="00A83C87">
      <w:pPr>
        <w:spacing w:after="0" w:line="240" w:lineRule="auto"/>
        <w:contextualSpacing/>
        <w:jc w:val="both"/>
        <w:rPr>
          <w:rFonts w:ascii="Verdana" w:eastAsia="Times New Roman" w:hAnsi="Verdana" w:cs="Arial"/>
          <w:b/>
          <w:sz w:val="20"/>
          <w:szCs w:val="20"/>
          <w:lang w:val="es-ES" w:eastAsia="es-ES"/>
        </w:rPr>
      </w:pPr>
    </w:p>
    <w:p w14:paraId="3857E7D8" w14:textId="77777777" w:rsidR="0096756C" w:rsidRDefault="0096756C" w:rsidP="00A83C87">
      <w:pPr>
        <w:spacing w:after="0" w:line="240" w:lineRule="auto"/>
        <w:contextualSpacing/>
        <w:jc w:val="both"/>
        <w:rPr>
          <w:rFonts w:ascii="Verdana" w:eastAsia="Times New Roman" w:hAnsi="Verdana" w:cs="Arial"/>
          <w:b/>
          <w:sz w:val="20"/>
          <w:szCs w:val="20"/>
          <w:lang w:val="es-ES" w:eastAsia="es-ES"/>
        </w:rPr>
      </w:pPr>
    </w:p>
    <w:p w14:paraId="3C023E0E" w14:textId="2450956E" w:rsidR="00A83C87" w:rsidRPr="009C60D9" w:rsidRDefault="00A83C87" w:rsidP="002B6AA3">
      <w:pPr>
        <w:jc w:val="both"/>
        <w:rPr>
          <w:rFonts w:ascii="Verdana" w:eastAsia="Times New Roman" w:hAnsi="Verdana" w:cs="Arial"/>
          <w:b/>
          <w:sz w:val="20"/>
          <w:szCs w:val="20"/>
          <w:lang w:val="es-ES" w:eastAsia="es-ES"/>
        </w:rPr>
      </w:pPr>
      <w:r w:rsidRPr="000017F7">
        <w:rPr>
          <w:rFonts w:ascii="Verdana" w:hAnsi="Verdana"/>
          <w:b/>
          <w:bCs/>
          <w:sz w:val="20"/>
          <w:szCs w:val="20"/>
        </w:rPr>
        <w:lastRenderedPageBreak/>
        <w:t>Riesgo de tasa de interés</w:t>
      </w:r>
    </w:p>
    <w:p w14:paraId="3D137780" w14:textId="633DDE2C" w:rsidR="00A83C87" w:rsidRDefault="00A83C87" w:rsidP="00A83C87">
      <w:pPr>
        <w:spacing w:after="0"/>
        <w:rPr>
          <w:rFonts w:ascii="Verdana" w:eastAsia="Times New Roman" w:hAnsi="Verdana" w:cs="Arial"/>
          <w:sz w:val="20"/>
          <w:szCs w:val="20"/>
          <w:lang w:val="es-ES" w:eastAsia="es-ES"/>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4</w:t>
      </w:r>
      <w:r w:rsidR="00CB235B">
        <w:rPr>
          <w:rFonts w:ascii="Verdana" w:hAnsi="Verdana"/>
          <w:sz w:val="20"/>
          <w:szCs w:val="20"/>
        </w:rPr>
        <w:t>0</w:t>
      </w:r>
    </w:p>
    <w:p w14:paraId="2111672D" w14:textId="297CFF96" w:rsidR="00A83C87" w:rsidRPr="009C60D9" w:rsidRDefault="00EC20E8" w:rsidP="00A83C87">
      <w:pPr>
        <w:spacing w:after="0" w:line="240" w:lineRule="auto"/>
        <w:jc w:val="both"/>
        <w:rPr>
          <w:rFonts w:ascii="Verdana" w:eastAsia="Times New Roman" w:hAnsi="Verdana" w:cs="Arial"/>
          <w:sz w:val="20"/>
          <w:szCs w:val="20"/>
          <w:lang w:val="es-ES" w:eastAsia="es-ES"/>
        </w:rPr>
      </w:pPr>
      <w:r>
        <w:rPr>
          <w:rFonts w:ascii="Verdana" w:eastAsia="Times New Roman" w:hAnsi="Verdana" w:cs="Arial"/>
          <w:sz w:val="20"/>
          <w:szCs w:val="20"/>
          <w:lang w:val="es-ES" w:eastAsia="es-ES"/>
        </w:rPr>
        <w:t xml:space="preserve">La siguiente es </w:t>
      </w:r>
      <w:r w:rsidR="00A83C87" w:rsidRPr="00495B61">
        <w:rPr>
          <w:rFonts w:ascii="Verdana" w:eastAsia="Times New Roman" w:hAnsi="Verdana" w:cs="Arial"/>
          <w:sz w:val="20"/>
          <w:szCs w:val="20"/>
          <w:lang w:val="es-ES" w:eastAsia="es-ES"/>
        </w:rPr>
        <w:t>la metodología estandarizada para medir el riesgo de tomar o mantener posiciones, en el libro de tesorería, en instrumentos sensibles a cambios adversos en tasas de interés.</w:t>
      </w:r>
      <w:r w:rsidR="00BA2EAC" w:rsidRPr="00495B61">
        <w:rPr>
          <w:rFonts w:ascii="Verdana" w:eastAsia="Times New Roman" w:hAnsi="Verdana" w:cs="Arial"/>
          <w:sz w:val="20"/>
          <w:szCs w:val="20"/>
          <w:lang w:val="es-ES" w:eastAsia="es-ES"/>
        </w:rPr>
        <w:t xml:space="preserve"> </w:t>
      </w:r>
      <w:r w:rsidR="00A83C87" w:rsidRPr="00495B61">
        <w:rPr>
          <w:rFonts w:ascii="Verdana" w:eastAsia="Times New Roman" w:hAnsi="Verdana" w:cs="Arial"/>
          <w:sz w:val="20"/>
          <w:szCs w:val="20"/>
          <w:lang w:val="es-ES" w:eastAsia="es-ES"/>
        </w:rPr>
        <w:t xml:space="preserve">Para efectos de </w:t>
      </w:r>
      <w:r w:rsidR="00723ED8" w:rsidRPr="00495B61">
        <w:rPr>
          <w:rFonts w:ascii="Verdana" w:eastAsia="Times New Roman" w:hAnsi="Verdana" w:cs="Arial"/>
          <w:sz w:val="20"/>
          <w:szCs w:val="20"/>
          <w:lang w:val="es-ES" w:eastAsia="es-ES"/>
        </w:rPr>
        <w:t>lo anterior,</w:t>
      </w:r>
      <w:r w:rsidR="00A83C87" w:rsidRPr="00495B61">
        <w:rPr>
          <w:rFonts w:ascii="Verdana" w:eastAsia="Times New Roman" w:hAnsi="Verdana" w:cs="Arial"/>
          <w:sz w:val="20"/>
          <w:szCs w:val="20"/>
          <w:lang w:val="es-ES" w:eastAsia="es-ES"/>
        </w:rPr>
        <w:t xml:space="preserve"> </w:t>
      </w:r>
      <w:r w:rsidR="00723ED8" w:rsidRPr="00495B61">
        <w:rPr>
          <w:rFonts w:ascii="Verdana" w:eastAsia="Times New Roman" w:hAnsi="Verdana" w:cs="Arial"/>
          <w:sz w:val="20"/>
          <w:szCs w:val="20"/>
          <w:lang w:val="es-ES" w:eastAsia="es-ES"/>
        </w:rPr>
        <w:t xml:space="preserve">se </w:t>
      </w:r>
      <w:r w:rsidR="00A83C87" w:rsidRPr="00495B61">
        <w:rPr>
          <w:rFonts w:ascii="Verdana" w:eastAsia="Times New Roman" w:hAnsi="Verdana" w:cs="Arial"/>
          <w:sz w:val="20"/>
          <w:szCs w:val="20"/>
          <w:lang w:val="es-ES" w:eastAsia="es-ES"/>
        </w:rPr>
        <w:t>deben tener en cuenta</w:t>
      </w:r>
      <w:r w:rsidR="00723ED8" w:rsidRPr="00495B61">
        <w:rPr>
          <w:rFonts w:ascii="Verdana" w:eastAsia="Times New Roman" w:hAnsi="Verdana" w:cs="Arial"/>
          <w:sz w:val="20"/>
          <w:szCs w:val="20"/>
          <w:lang w:val="es-ES" w:eastAsia="es-ES"/>
        </w:rPr>
        <w:t xml:space="preserve"> las siguientes instrucciones</w:t>
      </w:r>
      <w:r w:rsidR="00A83C87" w:rsidRPr="00495B61">
        <w:rPr>
          <w:rFonts w:ascii="Verdana" w:eastAsia="Times New Roman" w:hAnsi="Verdana" w:cs="Arial"/>
          <w:sz w:val="20"/>
          <w:szCs w:val="20"/>
          <w:lang w:val="es-ES" w:eastAsia="es-ES"/>
        </w:rPr>
        <w:t>:</w:t>
      </w:r>
    </w:p>
    <w:p w14:paraId="33AFFD32"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01912476" w14:textId="00E06951" w:rsidR="00A83C87" w:rsidRPr="009C60D9" w:rsidRDefault="00A83C87" w:rsidP="000017F7">
      <w:pPr>
        <w:pStyle w:val="Prrafodelista"/>
        <w:numPr>
          <w:ilvl w:val="0"/>
          <w:numId w:val="11"/>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Las inversiones en títulos de renta </w:t>
      </w:r>
      <w:proofErr w:type="gramStart"/>
      <w:r w:rsidRPr="009C60D9">
        <w:rPr>
          <w:rFonts w:ascii="Verdana" w:eastAsia="Times New Roman" w:hAnsi="Verdana" w:cs="Arial"/>
          <w:sz w:val="20"/>
          <w:szCs w:val="20"/>
          <w:lang w:val="es-ES" w:eastAsia="es-ES"/>
        </w:rPr>
        <w:t>fija</w:t>
      </w:r>
      <w:r w:rsidR="00965725">
        <w:rPr>
          <w:rFonts w:ascii="Verdana" w:eastAsia="Times New Roman" w:hAnsi="Verdana" w:cs="Arial"/>
          <w:sz w:val="20"/>
          <w:szCs w:val="20"/>
          <w:lang w:val="es-ES" w:eastAsia="es-ES"/>
        </w:rPr>
        <w:t>,</w:t>
      </w:r>
      <w:proofErr w:type="gramEnd"/>
      <w:r w:rsidRPr="009C60D9">
        <w:rPr>
          <w:rFonts w:ascii="Verdana" w:eastAsia="Times New Roman" w:hAnsi="Verdana" w:cs="Arial"/>
          <w:sz w:val="20"/>
          <w:szCs w:val="20"/>
          <w:lang w:val="es-ES" w:eastAsia="es-ES"/>
        </w:rPr>
        <w:t xml:space="preserve"> bien sean pactados a tasa fija o a tasa variable.</w:t>
      </w:r>
    </w:p>
    <w:p w14:paraId="3830664F"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33D1BB52" w14:textId="689AF697" w:rsidR="00A83C87" w:rsidRPr="00BA0FDC" w:rsidRDefault="00A83C87" w:rsidP="000017F7">
      <w:pPr>
        <w:pStyle w:val="Prrafodelista"/>
        <w:numPr>
          <w:ilvl w:val="0"/>
          <w:numId w:val="11"/>
        </w:numPr>
        <w:spacing w:after="0" w:line="240" w:lineRule="auto"/>
        <w:ind w:left="567" w:hanging="567"/>
        <w:jc w:val="both"/>
        <w:rPr>
          <w:rFonts w:ascii="Verdana" w:eastAsia="Times New Roman" w:hAnsi="Verdana" w:cs="Arial"/>
          <w:sz w:val="20"/>
          <w:szCs w:val="20"/>
          <w:lang w:val="es-ES" w:eastAsia="es-ES"/>
        </w:rPr>
      </w:pPr>
      <w:r w:rsidRPr="00BA0FDC">
        <w:rPr>
          <w:rFonts w:ascii="Verdana" w:eastAsia="Times New Roman" w:hAnsi="Verdana" w:cs="Arial"/>
          <w:sz w:val="20"/>
          <w:szCs w:val="20"/>
          <w:lang w:val="es-ES" w:eastAsia="es-ES"/>
        </w:rPr>
        <w:t xml:space="preserve">Las exposiciones asociadas a instrumentos derivados cuyos subyacentes sean títulos de renta fija o tasas de interés según lo determinado </w:t>
      </w:r>
      <w:r w:rsidR="00C51BEC" w:rsidRPr="00BA0FDC">
        <w:rPr>
          <w:rFonts w:ascii="Verdana" w:eastAsia="Times New Roman" w:hAnsi="Verdana" w:cs="Arial"/>
          <w:sz w:val="20"/>
          <w:szCs w:val="20"/>
          <w:lang w:val="es-ES" w:eastAsia="es-ES"/>
        </w:rPr>
        <w:t>entre los párrafos 1.1.A8.</w:t>
      </w:r>
      <w:r w:rsidR="00CD34B1" w:rsidRPr="00BA0FDC">
        <w:rPr>
          <w:rFonts w:ascii="Verdana" w:eastAsia="Times New Roman" w:hAnsi="Verdana" w:cs="Arial"/>
          <w:sz w:val="20"/>
          <w:szCs w:val="20"/>
          <w:lang w:val="es-ES" w:eastAsia="es-ES"/>
        </w:rPr>
        <w:t>5. y 1.1.A8.40</w:t>
      </w:r>
      <w:r w:rsidRPr="00BA0FDC">
        <w:rPr>
          <w:rFonts w:ascii="Verdana" w:eastAsia="Times New Roman" w:hAnsi="Verdana" w:cs="Arial"/>
          <w:sz w:val="20"/>
          <w:szCs w:val="20"/>
          <w:lang w:val="es-ES" w:eastAsia="es-ES"/>
        </w:rPr>
        <w:t>.</w:t>
      </w:r>
    </w:p>
    <w:p w14:paraId="100BF6D5"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36090C24" w14:textId="7938CAE2" w:rsidR="00A83C87" w:rsidRPr="009C60D9" w:rsidRDefault="00A83C87" w:rsidP="000017F7">
      <w:pPr>
        <w:pStyle w:val="Prrafodelista"/>
        <w:numPr>
          <w:ilvl w:val="0"/>
          <w:numId w:val="11"/>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Adicionalmente, cuando </w:t>
      </w:r>
      <w:r w:rsidRPr="006A07FC">
        <w:rPr>
          <w:rFonts w:ascii="Verdana" w:eastAsia="Times New Roman" w:hAnsi="Verdana" w:cs="Arial"/>
          <w:sz w:val="20"/>
          <w:szCs w:val="20"/>
          <w:lang w:val="es-ES" w:eastAsia="es-ES"/>
        </w:rPr>
        <w:t xml:space="preserve">corresponda según lo previsto </w:t>
      </w:r>
      <w:r w:rsidR="00BA0FDC" w:rsidRPr="006A07FC">
        <w:rPr>
          <w:rFonts w:ascii="Verdana" w:eastAsia="Times New Roman" w:hAnsi="Verdana" w:cs="Arial"/>
          <w:sz w:val="20"/>
          <w:szCs w:val="20"/>
          <w:lang w:val="es-ES" w:eastAsia="es-ES"/>
        </w:rPr>
        <w:t xml:space="preserve">entre los párrafos </w:t>
      </w:r>
      <w:r w:rsidR="00E156C3" w:rsidRPr="006A07FC">
        <w:rPr>
          <w:rFonts w:ascii="Verdana" w:eastAsia="Times New Roman" w:hAnsi="Verdana" w:cs="Arial"/>
          <w:sz w:val="20"/>
          <w:szCs w:val="20"/>
          <w:lang w:val="es-ES" w:eastAsia="es-ES"/>
        </w:rPr>
        <w:t>1.1.A8.96. y 1.1.A8.109.</w:t>
      </w:r>
      <w:r w:rsidRPr="006A07FC">
        <w:rPr>
          <w:rFonts w:ascii="Verdana" w:eastAsia="Times New Roman" w:hAnsi="Verdana" w:cs="Arial"/>
          <w:sz w:val="20"/>
          <w:szCs w:val="20"/>
          <w:lang w:val="es-ES" w:eastAsia="es-ES"/>
        </w:rPr>
        <w:t>, las po</w:t>
      </w:r>
      <w:r w:rsidRPr="009C60D9">
        <w:rPr>
          <w:rFonts w:ascii="Verdana" w:eastAsia="Times New Roman" w:hAnsi="Verdana" w:cs="Arial"/>
          <w:sz w:val="20"/>
          <w:szCs w:val="20"/>
          <w:lang w:val="es-ES" w:eastAsia="es-ES"/>
        </w:rPr>
        <w:t>siciones delta ponderadas de opciones cuyo subyacente sea una tasa de interés o un título de deuda.</w:t>
      </w:r>
    </w:p>
    <w:p w14:paraId="142394DA"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34122585" w14:textId="5E555241"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4</w:t>
      </w:r>
      <w:r w:rsidR="00CB235B">
        <w:rPr>
          <w:rFonts w:ascii="Verdana" w:hAnsi="Verdana"/>
          <w:sz w:val="20"/>
          <w:szCs w:val="20"/>
        </w:rPr>
        <w:t>1</w:t>
      </w:r>
      <w:r w:rsidRPr="000E0B7B">
        <w:rPr>
          <w:rFonts w:ascii="Verdana" w:hAnsi="Verdana"/>
          <w:sz w:val="20"/>
          <w:szCs w:val="20"/>
        </w:rPr>
        <w:t>.</w:t>
      </w:r>
    </w:p>
    <w:p w14:paraId="37362D3E" w14:textId="7BDEF7E3"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Se debe incluir en el cálculo de la exposición al riesgo de tasa de interés, las posiciones de las inversiones clasificadas como para mantener hasta el vencimiento entregadas como garantías en una cámara de riesgo central de contraparte con el fin de respaldar el cum</w:t>
      </w:r>
      <w:r w:rsidRPr="000351C8">
        <w:rPr>
          <w:rFonts w:ascii="Verdana" w:eastAsia="Times New Roman" w:hAnsi="Verdana" w:cs="Arial"/>
          <w:sz w:val="20"/>
          <w:szCs w:val="20"/>
          <w:lang w:val="es-ES" w:eastAsia="es-ES"/>
        </w:rPr>
        <w:t xml:space="preserve">plimiento de las operaciones aceptadas para su compensación y liquidación, de acuerdo con lo establecido en </w:t>
      </w:r>
      <w:r w:rsidR="001C4DB3" w:rsidRPr="000351C8">
        <w:rPr>
          <w:rFonts w:ascii="Verdana" w:eastAsia="Times New Roman" w:hAnsi="Verdana" w:cs="Arial"/>
          <w:sz w:val="20"/>
          <w:szCs w:val="20"/>
          <w:lang w:val="es-ES" w:eastAsia="es-ES"/>
        </w:rPr>
        <w:t>los párra</w:t>
      </w:r>
      <w:r w:rsidR="000351C8" w:rsidRPr="000351C8">
        <w:rPr>
          <w:rFonts w:ascii="Verdana" w:eastAsia="Times New Roman" w:hAnsi="Verdana" w:cs="Arial"/>
          <w:sz w:val="20"/>
          <w:szCs w:val="20"/>
          <w:lang w:val="es-ES" w:eastAsia="es-ES"/>
        </w:rPr>
        <w:t>fos 1.1.A8.34. y 1.1.A8.35.</w:t>
      </w:r>
      <w:r w:rsidR="000351C8">
        <w:rPr>
          <w:rFonts w:ascii="Verdana" w:eastAsia="Times New Roman" w:hAnsi="Verdana" w:cs="Arial"/>
          <w:sz w:val="20"/>
          <w:szCs w:val="20"/>
          <w:lang w:val="es-ES" w:eastAsia="es-ES"/>
        </w:rPr>
        <w:t xml:space="preserve"> </w:t>
      </w:r>
    </w:p>
    <w:p w14:paraId="347279C4"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26B630AB" w14:textId="0D7D403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4</w:t>
      </w:r>
      <w:r w:rsidR="00CB235B">
        <w:rPr>
          <w:rFonts w:ascii="Verdana" w:hAnsi="Verdana"/>
          <w:sz w:val="20"/>
          <w:szCs w:val="20"/>
        </w:rPr>
        <w:t>2</w:t>
      </w:r>
      <w:r w:rsidRPr="000E0B7B">
        <w:rPr>
          <w:rFonts w:ascii="Verdana" w:hAnsi="Verdana"/>
          <w:sz w:val="20"/>
          <w:szCs w:val="20"/>
        </w:rPr>
        <w:t>.</w:t>
      </w:r>
    </w:p>
    <w:p w14:paraId="3675C924" w14:textId="0817FAC1"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efectos de los cálculos </w:t>
      </w:r>
      <w:r w:rsidR="00F03963">
        <w:rPr>
          <w:rFonts w:ascii="Verdana" w:eastAsia="Times New Roman" w:hAnsi="Verdana" w:cs="Arial"/>
          <w:sz w:val="20"/>
          <w:szCs w:val="20"/>
          <w:lang w:val="es-ES" w:eastAsia="es-ES"/>
        </w:rPr>
        <w:t>señalados en las presentes instrucciones</w:t>
      </w:r>
      <w:r w:rsidRPr="00F03963">
        <w:rPr>
          <w:rFonts w:ascii="Verdana" w:eastAsia="Times New Roman" w:hAnsi="Verdana" w:cs="Arial"/>
          <w:sz w:val="20"/>
          <w:szCs w:val="20"/>
          <w:lang w:val="es-ES" w:eastAsia="es-ES"/>
        </w:rPr>
        <w:t>, las</w:t>
      </w:r>
      <w:r w:rsidRPr="009C60D9">
        <w:rPr>
          <w:rFonts w:ascii="Verdana" w:eastAsia="Times New Roman" w:hAnsi="Verdana" w:cs="Arial"/>
          <w:sz w:val="20"/>
          <w:szCs w:val="20"/>
          <w:lang w:val="es-ES" w:eastAsia="es-ES"/>
        </w:rPr>
        <w:t xml:space="preserve"> entidades deben reportar las exposiciones netas en cada instrumento. En ese sentido, se pueden excluir posiciones calzadas en los siguientes casos</w:t>
      </w:r>
      <w:r w:rsidR="00E8555D">
        <w:rPr>
          <w:rFonts w:ascii="Verdana" w:eastAsia="Times New Roman" w:hAnsi="Verdana" w:cs="Arial"/>
          <w:sz w:val="20"/>
          <w:szCs w:val="20"/>
          <w:lang w:val="es-ES" w:eastAsia="es-ES"/>
        </w:rPr>
        <w:t>.</w:t>
      </w:r>
    </w:p>
    <w:p w14:paraId="5FB24CAF"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634B0E9" w14:textId="667EA23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43</w:t>
      </w:r>
      <w:r w:rsidRPr="000E0B7B">
        <w:rPr>
          <w:rFonts w:ascii="Verdana" w:hAnsi="Verdana"/>
          <w:sz w:val="20"/>
          <w:szCs w:val="20"/>
        </w:rPr>
        <w:t>.</w:t>
      </w:r>
    </w:p>
    <w:p w14:paraId="7C93BCB9" w14:textId="405D492C" w:rsidR="00A83C87" w:rsidRPr="009801C3" w:rsidRDefault="00A83C87" w:rsidP="009801C3">
      <w:pPr>
        <w:spacing w:after="0" w:line="240" w:lineRule="auto"/>
        <w:jc w:val="both"/>
        <w:rPr>
          <w:rFonts w:ascii="Verdana" w:eastAsia="Times New Roman" w:hAnsi="Verdana" w:cs="Arial"/>
          <w:sz w:val="20"/>
          <w:szCs w:val="20"/>
          <w:lang w:val="es-ES" w:eastAsia="es-ES"/>
        </w:rPr>
      </w:pPr>
      <w:r w:rsidRPr="00E15DBD">
        <w:rPr>
          <w:rFonts w:ascii="Verdana" w:eastAsia="Times New Roman" w:hAnsi="Verdana" w:cs="Arial"/>
          <w:sz w:val="20"/>
          <w:szCs w:val="20"/>
          <w:lang w:val="es-ES" w:eastAsia="es-ES"/>
        </w:rPr>
        <w:t>Cuando las posiciones largas y cortas calzadas correspondan a una emisión idéntica, incluyendo las posiciones en subyacentes derivadas de la participación en forwards, futuros y operaciones a plazo.</w:t>
      </w:r>
      <w:r w:rsidR="009801C3">
        <w:rPr>
          <w:rFonts w:ascii="Verdana" w:eastAsia="Times New Roman" w:hAnsi="Verdana" w:cs="Arial"/>
          <w:sz w:val="20"/>
          <w:szCs w:val="20"/>
          <w:lang w:val="es-ES" w:eastAsia="es-ES"/>
        </w:rPr>
        <w:t xml:space="preserve"> </w:t>
      </w:r>
      <w:r w:rsidRPr="002A6267">
        <w:rPr>
          <w:rFonts w:ascii="Verdana" w:eastAsia="Times New Roman" w:hAnsi="Verdana" w:cs="Arial"/>
          <w:sz w:val="20"/>
          <w:szCs w:val="20"/>
          <w:lang w:val="es-ES" w:eastAsia="es-ES"/>
        </w:rPr>
        <w:t>No se pueden excluir posiciones calzadas entre distintas emisiones de un mismo emisor, dado que las diferencias en cupones, opciones implícitas o liquidez, entre otros elementos, pueden ocasionar divergencia entre los precios de dichas emisiones en el corto plazo.</w:t>
      </w:r>
    </w:p>
    <w:p w14:paraId="4ABBFD9E" w14:textId="77777777" w:rsidR="00A83C87" w:rsidRPr="009C60D9" w:rsidRDefault="00A83C87" w:rsidP="00A83C87">
      <w:pPr>
        <w:pStyle w:val="Prrafodelista"/>
        <w:spacing w:after="0" w:line="240" w:lineRule="auto"/>
        <w:ind w:left="284" w:hanging="284"/>
        <w:jc w:val="both"/>
        <w:rPr>
          <w:rFonts w:ascii="Verdana" w:eastAsia="Times New Roman" w:hAnsi="Verdana" w:cs="Arial"/>
          <w:sz w:val="20"/>
          <w:szCs w:val="20"/>
          <w:lang w:val="es-ES" w:eastAsia="es-ES"/>
        </w:rPr>
      </w:pPr>
    </w:p>
    <w:p w14:paraId="28FD6C58" w14:textId="47B81D25"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44</w:t>
      </w:r>
      <w:r w:rsidRPr="000E0B7B">
        <w:rPr>
          <w:rFonts w:ascii="Verdana" w:hAnsi="Verdana"/>
          <w:sz w:val="20"/>
          <w:szCs w:val="20"/>
        </w:rPr>
        <w:t>.</w:t>
      </w:r>
    </w:p>
    <w:p w14:paraId="1D322C8F" w14:textId="77777777" w:rsidR="00A83C87" w:rsidRPr="00B03F92" w:rsidRDefault="00A83C87" w:rsidP="00A83C87">
      <w:pPr>
        <w:spacing w:after="0" w:line="240" w:lineRule="auto"/>
        <w:jc w:val="both"/>
        <w:rPr>
          <w:rFonts w:ascii="Verdana" w:eastAsia="Times New Roman" w:hAnsi="Verdana" w:cs="Arial"/>
          <w:sz w:val="20"/>
          <w:szCs w:val="20"/>
          <w:lang w:val="es-ES" w:eastAsia="es-ES"/>
        </w:rPr>
      </w:pPr>
      <w:r w:rsidRPr="00B03F92">
        <w:rPr>
          <w:rFonts w:ascii="Verdana" w:eastAsia="Times New Roman" w:hAnsi="Verdana" w:cs="Arial"/>
          <w:sz w:val="20"/>
          <w:szCs w:val="20"/>
          <w:lang w:val="es-ES" w:eastAsia="es-ES"/>
        </w:rPr>
        <w:t>Para las posiciones nocionales asociadas a instrumentos derivados, con excepción de las posiciones nocionales en títulos subyacentes, se podrán excluir las posiciones largas y cortas calzadas cuando:</w:t>
      </w:r>
    </w:p>
    <w:p w14:paraId="28E43375"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5596CA3F" w14:textId="77777777" w:rsidR="00A83C87" w:rsidRPr="009C60D9"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Las posiciones estén en la misma moneda;</w:t>
      </w:r>
    </w:p>
    <w:p w14:paraId="14D9BC50"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001A1259" w14:textId="77777777" w:rsidR="00A83C87" w:rsidRPr="009C60D9"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swaps y FRAs, la tasa de referencia debe ser idéntica y la diferencia entre los cupones pactados debe ser menor a 15 puntos básicos;</w:t>
      </w:r>
    </w:p>
    <w:p w14:paraId="033E862D"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2231BD87" w14:textId="77777777" w:rsidR="00F63A78"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2B6AA3">
        <w:rPr>
          <w:rFonts w:ascii="Verdana" w:eastAsia="Times New Roman" w:hAnsi="Verdana" w:cs="Arial"/>
          <w:sz w:val="20"/>
          <w:szCs w:val="20"/>
          <w:lang w:val="es-ES" w:eastAsia="es-ES"/>
        </w:rPr>
        <w:t>Si la madurez residual (o próxima fecha de reprecio) de las posiciones nocionales es menor o igual a treinta días y el descalce entre ellas es menor o igual a un 1 día; o,</w:t>
      </w:r>
    </w:p>
    <w:p w14:paraId="69409C9D" w14:textId="77777777" w:rsidR="00F63A78" w:rsidRPr="00F63A78" w:rsidRDefault="00F63A78" w:rsidP="00F63A78">
      <w:pPr>
        <w:pStyle w:val="Prrafodelista"/>
        <w:rPr>
          <w:rFonts w:ascii="Verdana" w:eastAsia="Times New Roman" w:hAnsi="Verdana" w:cs="Arial"/>
          <w:sz w:val="20"/>
          <w:szCs w:val="20"/>
          <w:lang w:val="es-ES" w:eastAsia="es-ES"/>
        </w:rPr>
      </w:pPr>
    </w:p>
    <w:p w14:paraId="017833AE" w14:textId="58AA8EB6" w:rsidR="00A83C87" w:rsidRPr="002B6AA3"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2B6AA3">
        <w:rPr>
          <w:rFonts w:ascii="Verdana" w:eastAsia="Times New Roman" w:hAnsi="Verdana" w:cs="Arial"/>
          <w:sz w:val="20"/>
          <w:szCs w:val="20"/>
          <w:lang w:val="es-ES" w:eastAsia="es-ES"/>
        </w:rPr>
        <w:t>Si la madurez residual (o próxima fecha de reprecio) de las posiciones nocionales es mayor que 30 días y menor o igual a 365 días, y el descalce entre ellas es menor o igual a 7 días; o,</w:t>
      </w:r>
    </w:p>
    <w:p w14:paraId="7B6345EE"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2A7EA7FF" w14:textId="77777777" w:rsidR="00A83C87" w:rsidRPr="009C60D9"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Si la madurez residual (o próxima fecha de reprecio) de las posiciones nocionales es mayor a 365 días y el descalce entre ellas es menor a 30 días; y</w:t>
      </w:r>
    </w:p>
    <w:p w14:paraId="57FFB7E1"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083E0F34" w14:textId="77777777" w:rsidR="00A83C87" w:rsidRPr="009C60D9" w:rsidRDefault="00A83C87" w:rsidP="000017F7">
      <w:pPr>
        <w:pStyle w:val="Prrafodelista"/>
        <w:numPr>
          <w:ilvl w:val="0"/>
          <w:numId w:val="13"/>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Si las posiciones a calzar están en 2 categorías distintas </w:t>
      </w:r>
      <w:proofErr w:type="gramStart"/>
      <w:r w:rsidRPr="009C60D9">
        <w:rPr>
          <w:rFonts w:ascii="Verdana" w:eastAsia="Times New Roman" w:hAnsi="Verdana" w:cs="Arial"/>
          <w:sz w:val="20"/>
          <w:szCs w:val="20"/>
          <w:lang w:val="es-ES" w:eastAsia="es-ES"/>
        </w:rPr>
        <w:t>de acuerdo a</w:t>
      </w:r>
      <w:proofErr w:type="gramEnd"/>
      <w:r w:rsidRPr="009C60D9">
        <w:rPr>
          <w:rFonts w:ascii="Verdana" w:eastAsia="Times New Roman" w:hAnsi="Verdana" w:cs="Arial"/>
          <w:sz w:val="20"/>
          <w:szCs w:val="20"/>
          <w:lang w:val="es-ES" w:eastAsia="es-ES"/>
        </w:rPr>
        <w:t xml:space="preserve"> su madurez residual, el calce podrá realizarse sólo si se cumple con las condiciones de la posición con menor madurez residual. Por ejemplo, si se tiene una posición larga con una madurez residual de 363 días, esta podrá calzarse con una posición corta, con una madurez residual de hasta 369 días, para garantizar que el descalce entre ellas sea menor a 7 días.</w:t>
      </w:r>
    </w:p>
    <w:p w14:paraId="4FD9F6E9"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34FB2A65" w14:textId="77777777" w:rsidR="005E0D31" w:rsidRDefault="005E0D31" w:rsidP="00A83C87">
      <w:pPr>
        <w:spacing w:after="0" w:line="240" w:lineRule="auto"/>
        <w:jc w:val="both"/>
        <w:rPr>
          <w:rFonts w:ascii="Verdana" w:eastAsia="Times New Roman" w:hAnsi="Verdana" w:cs="Arial"/>
          <w:sz w:val="20"/>
          <w:szCs w:val="20"/>
          <w:lang w:val="es-ES" w:eastAsia="es-ES"/>
        </w:rPr>
      </w:pPr>
    </w:p>
    <w:p w14:paraId="76F2AFB5" w14:textId="77777777" w:rsidR="005E0D31" w:rsidRDefault="005E0D31" w:rsidP="00A83C87">
      <w:pPr>
        <w:spacing w:after="0" w:line="240" w:lineRule="auto"/>
        <w:jc w:val="both"/>
        <w:rPr>
          <w:rFonts w:ascii="Verdana" w:eastAsia="Times New Roman" w:hAnsi="Verdana" w:cs="Arial"/>
          <w:sz w:val="20"/>
          <w:szCs w:val="20"/>
          <w:lang w:val="es-ES" w:eastAsia="es-ES"/>
        </w:rPr>
      </w:pPr>
    </w:p>
    <w:p w14:paraId="3AA21197" w14:textId="1D43B7F8" w:rsidR="00A83C87" w:rsidRPr="003813D8" w:rsidRDefault="00A83C87" w:rsidP="003813D8">
      <w:pPr>
        <w:pStyle w:val="Prrafodelista"/>
        <w:numPr>
          <w:ilvl w:val="0"/>
          <w:numId w:val="27"/>
        </w:numPr>
        <w:ind w:left="284" w:hanging="284"/>
        <w:jc w:val="both"/>
        <w:rPr>
          <w:rFonts w:ascii="Verdana" w:eastAsia="Times New Roman" w:hAnsi="Verdana" w:cs="Arial"/>
          <w:sz w:val="20"/>
          <w:szCs w:val="20"/>
          <w:lang w:val="es-ES" w:eastAsia="es-ES"/>
        </w:rPr>
      </w:pPr>
      <w:r w:rsidRPr="003813D8">
        <w:rPr>
          <w:rFonts w:ascii="Verdana" w:hAnsi="Verdana"/>
          <w:b/>
          <w:bCs/>
          <w:sz w:val="20"/>
          <w:szCs w:val="20"/>
        </w:rPr>
        <w:lastRenderedPageBreak/>
        <w:t>Medición del riesgo de tasa de interés</w:t>
      </w:r>
    </w:p>
    <w:p w14:paraId="76899183" w14:textId="4A02517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45</w:t>
      </w:r>
      <w:r w:rsidRPr="000E0B7B">
        <w:rPr>
          <w:rFonts w:ascii="Verdana" w:hAnsi="Verdana"/>
          <w:sz w:val="20"/>
          <w:szCs w:val="20"/>
        </w:rPr>
        <w:t>.</w:t>
      </w:r>
    </w:p>
    <w:p w14:paraId="16A04F9F" w14:textId="4F512DCC"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 exposición a riesgo de tasa de interés refleja el riesgo asociado a </w:t>
      </w:r>
      <w:r w:rsidR="00C42A98">
        <w:rPr>
          <w:rFonts w:ascii="Verdana" w:eastAsia="Times New Roman" w:hAnsi="Verdana" w:cs="Arial"/>
          <w:sz w:val="20"/>
          <w:szCs w:val="20"/>
          <w:lang w:val="es-ES" w:eastAsia="es-ES"/>
        </w:rPr>
        <w:t xml:space="preserve">los </w:t>
      </w:r>
      <w:r w:rsidRPr="009C60D9">
        <w:rPr>
          <w:rFonts w:ascii="Verdana" w:eastAsia="Times New Roman" w:hAnsi="Verdana" w:cs="Arial"/>
          <w:sz w:val="20"/>
          <w:szCs w:val="20"/>
          <w:lang w:val="es-ES" w:eastAsia="es-ES"/>
        </w:rPr>
        <w:t>movimientos adversos en las tasas de interés del mercado. Dicha exposición debe ser medida por las entidades de manera separada para las posiciones en moneda legal, en moneda extranjera y en Unidades de Valor Real (UVR).</w:t>
      </w:r>
    </w:p>
    <w:p w14:paraId="1F1B3226"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7B02A393" w14:textId="70346865" w:rsidR="00A83C87" w:rsidRPr="003813D8" w:rsidRDefault="00A83C87" w:rsidP="003813D8">
      <w:pPr>
        <w:pStyle w:val="Prrafodelista"/>
        <w:numPr>
          <w:ilvl w:val="0"/>
          <w:numId w:val="28"/>
        </w:numPr>
        <w:ind w:left="567" w:hanging="283"/>
        <w:jc w:val="both"/>
        <w:rPr>
          <w:rFonts w:ascii="Verdana" w:eastAsia="Times New Roman" w:hAnsi="Verdana" w:cs="Arial"/>
          <w:sz w:val="20"/>
          <w:szCs w:val="20"/>
          <w:lang w:val="es-ES" w:eastAsia="es-ES"/>
        </w:rPr>
      </w:pPr>
      <w:r w:rsidRPr="003813D8">
        <w:rPr>
          <w:rFonts w:ascii="Verdana" w:hAnsi="Verdana"/>
          <w:b/>
          <w:bCs/>
          <w:sz w:val="20"/>
          <w:szCs w:val="20"/>
        </w:rPr>
        <w:t>Cálculo de la duración modificada</w:t>
      </w:r>
    </w:p>
    <w:p w14:paraId="2F4A30F8" w14:textId="029B33B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46</w:t>
      </w:r>
      <w:r w:rsidRPr="000E0B7B">
        <w:rPr>
          <w:rFonts w:ascii="Verdana" w:hAnsi="Verdana"/>
          <w:sz w:val="20"/>
          <w:szCs w:val="20"/>
        </w:rPr>
        <w:t>.</w:t>
      </w:r>
    </w:p>
    <w:p w14:paraId="4C456998" w14:textId="1F1D78EF"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Las entidades deberán calcular la duración modificada de cada una de las posiciones, incluyendo las nocionales asociadas a los instrumentos derivados, como una aproximación a la sensibilidad de su valor frente a </w:t>
      </w:r>
      <w:r w:rsidR="00C42A98">
        <w:rPr>
          <w:rFonts w:ascii="Verdana" w:eastAsia="Times New Roman" w:hAnsi="Verdana" w:cs="Arial"/>
          <w:sz w:val="20"/>
          <w:szCs w:val="20"/>
          <w:lang w:val="es-ES" w:eastAsia="es-ES"/>
        </w:rPr>
        <w:t xml:space="preserve">los </w:t>
      </w:r>
      <w:r w:rsidRPr="009C60D9">
        <w:rPr>
          <w:rFonts w:ascii="Verdana" w:eastAsia="Times New Roman" w:hAnsi="Verdana" w:cs="Arial"/>
          <w:sz w:val="20"/>
          <w:szCs w:val="20"/>
          <w:lang w:val="es-ES" w:eastAsia="es-ES"/>
        </w:rPr>
        <w:t>cambios en la tasa de interés. Para dicho cálculo se debe utilizar la siguiente fórmula:</w:t>
      </w:r>
    </w:p>
    <w:p w14:paraId="374FF19E" w14:textId="0CC746C7" w:rsidR="00A83C87" w:rsidRPr="009C60D9" w:rsidRDefault="00A83C87" w:rsidP="001C5BD5">
      <w:pPr>
        <w:spacing w:after="0" w:line="240" w:lineRule="auto"/>
        <w:rPr>
          <w:rFonts w:ascii="Verdana" w:eastAsia="Times New Roman" w:hAnsi="Verdana" w:cs="Arial"/>
          <w:sz w:val="20"/>
          <w:szCs w:val="20"/>
          <w:lang w:val="es-ES" w:eastAsia="es-ES"/>
        </w:rPr>
      </w:pPr>
    </w:p>
    <w:p w14:paraId="57B4DD38" w14:textId="77777777" w:rsidR="001C5BD5" w:rsidRDefault="001C5BD5" w:rsidP="001C5BD5">
      <w:pPr>
        <w:pStyle w:val="Textoindependiente"/>
        <w:rPr>
          <w:rFonts w:ascii="Verdana" w:hAnsi="Verdana"/>
          <w:sz w:val="20"/>
        </w:rPr>
      </w:pPr>
      <m:oMathPara>
        <m:oMath>
          <m:r>
            <w:rPr>
              <w:rFonts w:ascii="Cambria Math" w:hAnsi="Cambria Math"/>
              <w:sz w:val="20"/>
            </w:rPr>
            <m:t>Duración modificada=</m:t>
          </m:r>
          <m:f>
            <m:fPr>
              <m:ctrlPr>
                <w:rPr>
                  <w:rFonts w:ascii="Cambria Math" w:hAnsi="Cambria Math"/>
                  <w:i/>
                  <w:sz w:val="20"/>
                </w:rPr>
              </m:ctrlPr>
            </m:fPr>
            <m:num>
              <m:r>
                <w:rPr>
                  <w:rFonts w:ascii="Cambria Math" w:hAnsi="Cambria Math"/>
                  <w:sz w:val="20"/>
                </w:rPr>
                <m:t xml:space="preserve">Duración </m:t>
              </m:r>
            </m:num>
            <m:den>
              <m:r>
                <w:rPr>
                  <w:rFonts w:ascii="Cambria Math" w:hAnsi="Cambria Math"/>
                  <w:sz w:val="20"/>
                </w:rPr>
                <m:t>(1+r)</m:t>
              </m:r>
            </m:den>
          </m:f>
        </m:oMath>
      </m:oMathPara>
    </w:p>
    <w:p w14:paraId="509795DE" w14:textId="77777777" w:rsidR="001C5BD5" w:rsidRPr="000E0B7B" w:rsidRDefault="001C5BD5" w:rsidP="001C5BD5">
      <w:pPr>
        <w:pStyle w:val="Textoindependiente"/>
        <w:rPr>
          <w:rFonts w:ascii="Verdana" w:hAnsi="Verdana"/>
          <w:sz w:val="20"/>
        </w:rPr>
      </w:pPr>
    </w:p>
    <w:p w14:paraId="625D4E65" w14:textId="77777777" w:rsidR="001C5BD5" w:rsidRPr="000E0B7B" w:rsidRDefault="001C5BD5" w:rsidP="001C5BD5">
      <w:pPr>
        <w:pStyle w:val="Textoindependiente"/>
        <w:rPr>
          <w:rFonts w:ascii="Verdana" w:hAnsi="Verdana"/>
          <w:sz w:val="20"/>
        </w:rPr>
      </w:pPr>
      <w:r w:rsidRPr="000E0B7B">
        <w:rPr>
          <w:rFonts w:ascii="Verdana" w:hAnsi="Verdana"/>
          <w:sz w:val="20"/>
        </w:rPr>
        <w:t>Dónde:</w:t>
      </w:r>
    </w:p>
    <w:p w14:paraId="30957659" w14:textId="77777777" w:rsidR="001C5BD5" w:rsidRDefault="001C5BD5" w:rsidP="001C5BD5">
      <w:pPr>
        <w:pStyle w:val="Textoindependiente"/>
        <w:rPr>
          <w:rFonts w:ascii="Verdana" w:hAnsi="Verdana"/>
          <w:i/>
          <w:iCs/>
          <w:sz w:val="20"/>
        </w:rPr>
      </w:pPr>
    </w:p>
    <w:p w14:paraId="70E9FF42" w14:textId="77777777" w:rsidR="001C5BD5" w:rsidRPr="000E0B7B" w:rsidRDefault="001C5BD5" w:rsidP="001C5BD5">
      <w:pPr>
        <w:pStyle w:val="Textoindependiente"/>
        <w:rPr>
          <w:rFonts w:ascii="Verdana" w:hAnsi="Verdana"/>
          <w:sz w:val="20"/>
          <w:lang w:val="es-ES_tradnl"/>
        </w:rPr>
      </w:pPr>
      <m:oMath>
        <m:r>
          <w:rPr>
            <w:rFonts w:ascii="Cambria Math" w:hAnsi="Cambria Math"/>
            <w:sz w:val="20"/>
          </w:rPr>
          <m:t>r</m:t>
        </m:r>
      </m:oMath>
      <w:r>
        <w:rPr>
          <w:rFonts w:ascii="Verdana" w:hAnsi="Verdana"/>
          <w:sz w:val="20"/>
        </w:rPr>
        <w:t>:</w:t>
      </w:r>
      <w:r>
        <w:rPr>
          <w:rFonts w:ascii="Verdana" w:hAnsi="Verdana"/>
          <w:i/>
          <w:iCs/>
          <w:sz w:val="20"/>
        </w:rPr>
        <w:t xml:space="preserve"> </w:t>
      </w:r>
      <w:r>
        <w:rPr>
          <w:rFonts w:ascii="Verdana" w:hAnsi="Verdana"/>
          <w:sz w:val="20"/>
          <w:lang w:val="es-ES_tradnl"/>
        </w:rPr>
        <w:t>ú</w:t>
      </w:r>
      <w:r w:rsidRPr="000E0B7B">
        <w:rPr>
          <w:rFonts w:ascii="Verdana" w:hAnsi="Verdana"/>
          <w:sz w:val="20"/>
          <w:lang w:val="es-ES_tradnl"/>
        </w:rPr>
        <w:t xml:space="preserve">ltimo rendimiento disponible en la fecha de cálculo (tasa efectiva anual). Es decir, la última tasa de descuento disponible para el título, de acuerdo con la información para valoración suministrada por el proveedor de precios designado como oficial para el segmento correspondiente. </w:t>
      </w:r>
    </w:p>
    <w:p w14:paraId="527639B2" w14:textId="77777777" w:rsidR="00A83C87" w:rsidRPr="001C5BD5" w:rsidRDefault="00A83C87" w:rsidP="00A83C87">
      <w:pPr>
        <w:spacing w:after="0" w:line="240" w:lineRule="auto"/>
        <w:jc w:val="both"/>
        <w:rPr>
          <w:rFonts w:ascii="Verdana" w:eastAsia="Times New Roman" w:hAnsi="Verdana" w:cs="Arial"/>
          <w:sz w:val="20"/>
          <w:szCs w:val="20"/>
          <w:lang w:val="es-ES_tradnl" w:eastAsia="es-ES"/>
        </w:rPr>
      </w:pPr>
    </w:p>
    <w:p w14:paraId="1C905581" w14:textId="35A1EEE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47</w:t>
      </w:r>
      <w:r w:rsidRPr="000E0B7B">
        <w:rPr>
          <w:rFonts w:ascii="Verdana" w:hAnsi="Verdana"/>
          <w:sz w:val="20"/>
          <w:szCs w:val="20"/>
        </w:rPr>
        <w:t>.</w:t>
      </w:r>
    </w:p>
    <w:p w14:paraId="682D08A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el cálculo de la duración de los diferentes instrumentos se deben seguir las instrucciones presentadas a continuación:</w:t>
      </w:r>
    </w:p>
    <w:p w14:paraId="22B20A39"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EA9B70E" w14:textId="6983E331" w:rsidR="00A83C87" w:rsidRPr="00AA6AD3" w:rsidRDefault="00A83C87" w:rsidP="00AA6AD3">
      <w:pPr>
        <w:pStyle w:val="Prrafodelista"/>
        <w:numPr>
          <w:ilvl w:val="1"/>
          <w:numId w:val="28"/>
        </w:numPr>
        <w:ind w:left="851" w:hanging="284"/>
        <w:jc w:val="both"/>
        <w:rPr>
          <w:rFonts w:ascii="Verdana" w:eastAsia="Times New Roman" w:hAnsi="Verdana" w:cs="Arial"/>
          <w:sz w:val="20"/>
          <w:szCs w:val="20"/>
          <w:lang w:val="es-ES" w:eastAsia="es-ES"/>
        </w:rPr>
      </w:pPr>
      <w:r w:rsidRPr="00AA6AD3">
        <w:rPr>
          <w:rFonts w:ascii="Verdana" w:hAnsi="Verdana"/>
          <w:b/>
          <w:bCs/>
          <w:sz w:val="20"/>
          <w:szCs w:val="20"/>
        </w:rPr>
        <w:t>Duración de instrumentos pactados a tasa fija</w:t>
      </w:r>
    </w:p>
    <w:p w14:paraId="0FE077F8" w14:textId="7AE6D28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B235B">
        <w:rPr>
          <w:rFonts w:ascii="Verdana" w:hAnsi="Verdana"/>
          <w:sz w:val="20"/>
          <w:szCs w:val="20"/>
        </w:rPr>
        <w:t>48</w:t>
      </w:r>
      <w:r w:rsidRPr="000E0B7B">
        <w:rPr>
          <w:rFonts w:ascii="Verdana" w:hAnsi="Verdana"/>
          <w:sz w:val="20"/>
          <w:szCs w:val="20"/>
        </w:rPr>
        <w:t>.</w:t>
      </w:r>
    </w:p>
    <w:p w14:paraId="31671D7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 duración de un título pactado a tasa fija corresponde al plazo promedio de los flujos asociados a dicho título. Partiendo de los flujos contractuales y de la tasa de rendimiento del título, la duración del instrumento corresponde a:</w:t>
      </w:r>
    </w:p>
    <w:p w14:paraId="5BE1424E"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693D7FCD" w14:textId="7ED92DD9" w:rsidR="00C2129A" w:rsidRDefault="00C2129A" w:rsidP="00C2129A">
      <w:pPr>
        <w:pStyle w:val="Textoindependiente"/>
        <w:ind w:left="284"/>
        <w:rPr>
          <w:rFonts w:ascii="Verdana" w:hAnsi="Verdana"/>
          <w:sz w:val="20"/>
          <w:lang w:val="es-ES_tradnl"/>
        </w:rPr>
      </w:pPr>
      <m:oMathPara>
        <m:oMath>
          <m:r>
            <w:rPr>
              <w:rFonts w:ascii="Cambria Math" w:hAnsi="Cambria Math"/>
              <w:sz w:val="20"/>
              <w:lang w:val="es-ES_tradnl"/>
            </w:rPr>
            <m:t>Duración=</m:t>
          </m:r>
          <m:f>
            <m:fPr>
              <m:ctrlPr>
                <w:rPr>
                  <w:rFonts w:ascii="Cambria Math" w:hAnsi="Cambria Math"/>
                  <w:i/>
                  <w:sz w:val="20"/>
                  <w:lang w:val="es-ES_tradnl"/>
                </w:rPr>
              </m:ctrlPr>
            </m:fPr>
            <m:num>
              <m:nary>
                <m:naryPr>
                  <m:chr m:val="∑"/>
                  <m:limLoc m:val="undOvr"/>
                  <m:ctrlPr>
                    <w:rPr>
                      <w:rFonts w:ascii="Cambria Math" w:hAnsi="Cambria Math"/>
                      <w:i/>
                      <w:sz w:val="20"/>
                      <w:lang w:val="es-ES_tradnl"/>
                    </w:rPr>
                  </m:ctrlPr>
                </m:naryPr>
                <m:sub>
                  <m:r>
                    <w:rPr>
                      <w:rFonts w:ascii="Cambria Math" w:hAnsi="Cambria Math"/>
                      <w:sz w:val="20"/>
                      <w:lang w:val="es-ES_tradnl"/>
                    </w:rPr>
                    <m:t>j=1</m:t>
                  </m:r>
                </m:sub>
                <m:sup>
                  <m:r>
                    <w:rPr>
                      <w:rFonts w:ascii="Cambria Math" w:hAnsi="Cambria Math"/>
                      <w:sz w:val="20"/>
                      <w:lang w:val="es-ES_tradnl"/>
                    </w:rPr>
                    <m:t>m</m:t>
                  </m:r>
                </m:sup>
                <m:e>
                  <m:d>
                    <m:dPr>
                      <m:begChr m:val="["/>
                      <m:endChr m:val="]"/>
                      <m:ctrlPr>
                        <w:rPr>
                          <w:rFonts w:ascii="Cambria Math" w:hAnsi="Cambria Math"/>
                          <w:i/>
                          <w:sz w:val="20"/>
                          <w:lang w:val="es-ES_tradnl"/>
                        </w:rPr>
                      </m:ctrlPr>
                    </m:dPr>
                    <m:e>
                      <m:f>
                        <m:fPr>
                          <m:ctrlPr>
                            <w:rPr>
                              <w:rFonts w:ascii="Cambria Math" w:hAnsi="Cambria Math"/>
                              <w:i/>
                              <w:sz w:val="20"/>
                              <w:lang w:val="es-ES_tradnl"/>
                            </w:rPr>
                          </m:ctrlPr>
                        </m:fPr>
                        <m:num>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num>
                        <m:den>
                          <m:sSup>
                            <m:sSupPr>
                              <m:ctrlPr>
                                <w:rPr>
                                  <w:rFonts w:ascii="Cambria Math" w:hAnsi="Cambria Math"/>
                                  <w:i/>
                                  <w:sz w:val="20"/>
                                  <w:lang w:val="es-ES_tradnl"/>
                                </w:rPr>
                              </m:ctrlPr>
                            </m:sSupPr>
                            <m:e>
                              <m:r>
                                <w:rPr>
                                  <w:rFonts w:ascii="Cambria Math" w:hAnsi="Cambria Math"/>
                                  <w:sz w:val="20"/>
                                  <w:lang w:val="es-ES_tradnl"/>
                                </w:rPr>
                                <m:t>(1+r)</m:t>
                              </m:r>
                            </m:e>
                            <m:sup>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sup>
                          </m:sSup>
                        </m:den>
                      </m:f>
                      <m:r>
                        <w:rPr>
                          <w:rFonts w:ascii="Cambria Math" w:hAnsi="Cambria Math"/>
                          <w:sz w:val="20"/>
                          <w:lang w:val="es-ES_tradnl"/>
                        </w:rPr>
                        <m:t>*</m:t>
                      </m:r>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e>
                  </m:d>
                </m:e>
              </m:nary>
            </m:num>
            <m:den>
              <m:nary>
                <m:naryPr>
                  <m:chr m:val="∑"/>
                  <m:limLoc m:val="undOvr"/>
                  <m:ctrlPr>
                    <w:rPr>
                      <w:rFonts w:ascii="Cambria Math" w:hAnsi="Cambria Math"/>
                      <w:i/>
                      <w:sz w:val="20"/>
                      <w:lang w:val="es-ES_tradnl"/>
                    </w:rPr>
                  </m:ctrlPr>
                </m:naryPr>
                <m:sub>
                  <m:r>
                    <w:rPr>
                      <w:rFonts w:ascii="Cambria Math" w:hAnsi="Cambria Math"/>
                      <w:sz w:val="20"/>
                      <w:lang w:val="es-ES_tradnl"/>
                    </w:rPr>
                    <m:t>j=1</m:t>
                  </m:r>
                </m:sub>
                <m:sup>
                  <m:r>
                    <w:rPr>
                      <w:rFonts w:ascii="Cambria Math" w:hAnsi="Cambria Math"/>
                      <w:sz w:val="20"/>
                      <w:lang w:val="es-ES_tradnl"/>
                    </w:rPr>
                    <m:t>m</m:t>
                  </m:r>
                </m:sup>
                <m:e>
                  <m:f>
                    <m:fPr>
                      <m:ctrlPr>
                        <w:rPr>
                          <w:rFonts w:ascii="Cambria Math" w:hAnsi="Cambria Math"/>
                          <w:i/>
                          <w:sz w:val="20"/>
                          <w:lang w:val="es-ES_tradnl"/>
                        </w:rPr>
                      </m:ctrlPr>
                    </m:fPr>
                    <m:num>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num>
                    <m:den>
                      <m:sSup>
                        <m:sSupPr>
                          <m:ctrlPr>
                            <w:rPr>
                              <w:rFonts w:ascii="Cambria Math" w:hAnsi="Cambria Math"/>
                              <w:i/>
                              <w:sz w:val="20"/>
                              <w:lang w:val="es-ES_tradnl"/>
                            </w:rPr>
                          </m:ctrlPr>
                        </m:sSupPr>
                        <m:e>
                          <m:r>
                            <w:rPr>
                              <w:rFonts w:ascii="Cambria Math" w:hAnsi="Cambria Math"/>
                              <w:sz w:val="20"/>
                              <w:lang w:val="es-ES_tradnl"/>
                            </w:rPr>
                            <m:t>(1+r)</m:t>
                          </m:r>
                        </m:e>
                        <m:sup>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sup>
                      </m:sSup>
                    </m:den>
                  </m:f>
                </m:e>
              </m:nary>
            </m:den>
          </m:f>
        </m:oMath>
      </m:oMathPara>
    </w:p>
    <w:p w14:paraId="775CC57E" w14:textId="77777777" w:rsidR="00C2129A" w:rsidRPr="000E0B7B" w:rsidRDefault="00C2129A" w:rsidP="00C2129A">
      <w:pPr>
        <w:pStyle w:val="Textoindependiente"/>
        <w:rPr>
          <w:rFonts w:ascii="Verdana" w:hAnsi="Verdana"/>
          <w:sz w:val="20"/>
          <w:lang w:val="es-ES_tradnl"/>
        </w:rPr>
      </w:pPr>
      <w:r w:rsidRPr="000E0B7B">
        <w:rPr>
          <w:rFonts w:ascii="Verdana" w:hAnsi="Verdana"/>
          <w:sz w:val="20"/>
          <w:lang w:val="es-ES_tradnl"/>
        </w:rPr>
        <w:t>Donde:</w:t>
      </w:r>
    </w:p>
    <w:p w14:paraId="3D1173CD" w14:textId="77777777" w:rsidR="00C2129A" w:rsidRPr="000E0B7B" w:rsidRDefault="00C2129A" w:rsidP="00C2129A">
      <w:pPr>
        <w:pStyle w:val="Textoindependiente"/>
        <w:ind w:left="284"/>
        <w:rPr>
          <w:rFonts w:ascii="Verdana" w:hAnsi="Verdana"/>
          <w:sz w:val="20"/>
          <w:lang w:val="es-ES_tradnl"/>
        </w:rPr>
      </w:pPr>
    </w:p>
    <w:p w14:paraId="61945138" w14:textId="77777777" w:rsidR="00C2129A" w:rsidRPr="000E0B7B" w:rsidRDefault="00B67830" w:rsidP="00C2129A">
      <w:pPr>
        <w:pStyle w:val="Textoindependiente"/>
        <w:rPr>
          <w:rFonts w:ascii="Verdana" w:hAnsi="Verdana"/>
          <w:sz w:val="20"/>
          <w:lang w:val="es-ES_tradnl"/>
        </w:rPr>
      </w:pPr>
      <m:oMath>
        <m:sSub>
          <m:sSubPr>
            <m:ctrlPr>
              <w:rPr>
                <w:rFonts w:ascii="Cambria Math" w:hAnsi="Cambria Math"/>
                <w:i/>
                <w:sz w:val="20"/>
                <w:lang w:val="es-ES_tradnl"/>
              </w:rPr>
            </m:ctrlPr>
          </m:sSubPr>
          <m:e>
            <m:r>
              <w:rPr>
                <w:rFonts w:ascii="Cambria Math" w:hAnsi="Cambria Math"/>
                <w:sz w:val="20"/>
                <w:lang w:val="es-ES_tradnl"/>
              </w:rPr>
              <m:t>F</m:t>
            </m:r>
          </m:e>
          <m:sub>
            <m:r>
              <w:rPr>
                <w:rFonts w:ascii="Cambria Math" w:hAnsi="Cambria Math"/>
                <w:sz w:val="20"/>
                <w:lang w:val="es-ES_tradnl"/>
              </w:rPr>
              <m:t>j</m:t>
            </m:r>
          </m:sub>
        </m:sSub>
      </m:oMath>
      <w:r w:rsidR="00C2129A">
        <w:rPr>
          <w:rFonts w:ascii="Verdana" w:hAnsi="Verdana"/>
          <w:sz w:val="20"/>
          <w:lang w:val="es-ES_tradnl"/>
        </w:rPr>
        <w:t xml:space="preserve">: </w:t>
      </w:r>
      <w:r w:rsidR="00C2129A" w:rsidRPr="000E0B7B">
        <w:rPr>
          <w:rFonts w:ascii="Verdana" w:hAnsi="Verdana"/>
          <w:i/>
          <w:iCs/>
          <w:sz w:val="20"/>
          <w:lang w:val="es-ES_tradnl"/>
        </w:rPr>
        <w:t>j-</w:t>
      </w:r>
      <w:r w:rsidR="00C2129A" w:rsidRPr="000E0B7B">
        <w:rPr>
          <w:rFonts w:ascii="Verdana" w:hAnsi="Verdana"/>
          <w:sz w:val="20"/>
          <w:lang w:val="es-ES_tradnl"/>
        </w:rPr>
        <w:t xml:space="preserve">ésimo flujo de fondos del instrumento, </w:t>
      </w:r>
      <w:r w:rsidR="00C2129A" w:rsidRPr="000E0B7B">
        <w:rPr>
          <w:rFonts w:ascii="Verdana" w:hAnsi="Verdana"/>
          <w:i/>
          <w:iCs/>
          <w:sz w:val="20"/>
          <w:lang w:val="es-ES_tradnl"/>
        </w:rPr>
        <w:t>j</w:t>
      </w:r>
      <w:r w:rsidR="00C2129A" w:rsidRPr="000E0B7B">
        <w:rPr>
          <w:rFonts w:ascii="Verdana" w:hAnsi="Verdana"/>
          <w:sz w:val="20"/>
          <w:lang w:val="es-ES_tradnl"/>
        </w:rPr>
        <w:t xml:space="preserve"> =</w:t>
      </w:r>
      <w:r w:rsidR="00C2129A" w:rsidRPr="000E0B7B">
        <w:rPr>
          <w:rFonts w:ascii="Verdana" w:hAnsi="Verdana"/>
          <w:i/>
          <w:iCs/>
          <w:sz w:val="20"/>
          <w:lang w:val="es-ES_tradnl"/>
        </w:rPr>
        <w:t>1, m</w:t>
      </w:r>
      <w:r w:rsidR="00C2129A" w:rsidRPr="000E0B7B">
        <w:rPr>
          <w:rFonts w:ascii="Verdana" w:hAnsi="Verdana"/>
          <w:sz w:val="20"/>
          <w:lang w:val="es-ES_tradnl"/>
        </w:rPr>
        <w:t>.</w:t>
      </w:r>
    </w:p>
    <w:p w14:paraId="11FCB1B4" w14:textId="77777777" w:rsidR="00C2129A" w:rsidRDefault="00C2129A" w:rsidP="00C2129A">
      <w:pPr>
        <w:pStyle w:val="Textoindependiente"/>
        <w:rPr>
          <w:rFonts w:ascii="Verdana" w:hAnsi="Verdana"/>
          <w:i/>
          <w:iCs/>
          <w:sz w:val="20"/>
          <w:lang w:val="es-ES_tradnl"/>
        </w:rPr>
      </w:pPr>
    </w:p>
    <w:p w14:paraId="263A107F" w14:textId="77777777" w:rsidR="00C2129A" w:rsidRPr="000E0B7B" w:rsidRDefault="00B67830" w:rsidP="00C2129A">
      <w:pPr>
        <w:pStyle w:val="Textoindependiente"/>
        <w:rPr>
          <w:rFonts w:ascii="Verdana" w:hAnsi="Verdana"/>
          <w:sz w:val="20"/>
          <w:lang w:val="es-ES_tradnl"/>
        </w:rPr>
      </w:pPr>
      <m:oMath>
        <m:sSub>
          <m:sSubPr>
            <m:ctrlPr>
              <w:rPr>
                <w:rFonts w:ascii="Cambria Math" w:hAnsi="Cambria Math"/>
                <w:i/>
                <w:sz w:val="20"/>
                <w:lang w:val="es-ES_tradnl"/>
              </w:rPr>
            </m:ctrlPr>
          </m:sSubPr>
          <m:e>
            <m:r>
              <w:rPr>
                <w:rFonts w:ascii="Cambria Math" w:hAnsi="Cambria Math"/>
                <w:sz w:val="20"/>
                <w:lang w:val="es-ES_tradnl"/>
              </w:rPr>
              <m:t>t</m:t>
            </m:r>
          </m:e>
          <m:sub>
            <m:r>
              <w:rPr>
                <w:rFonts w:ascii="Cambria Math" w:hAnsi="Cambria Math"/>
                <w:sz w:val="20"/>
                <w:lang w:val="es-ES_tradnl"/>
              </w:rPr>
              <m:t>j</m:t>
            </m:r>
          </m:sub>
        </m:sSub>
      </m:oMath>
      <w:r w:rsidR="00C2129A">
        <w:rPr>
          <w:rFonts w:ascii="Verdana" w:hAnsi="Verdana"/>
          <w:iCs/>
          <w:sz w:val="20"/>
          <w:lang w:val="es-ES_tradnl"/>
        </w:rPr>
        <w:t xml:space="preserve">: </w:t>
      </w:r>
      <w:r w:rsidR="00C2129A" w:rsidRPr="000E0B7B">
        <w:rPr>
          <w:rFonts w:ascii="Verdana" w:hAnsi="Verdana"/>
          <w:sz w:val="20"/>
          <w:lang w:val="es-ES_tradnl"/>
        </w:rPr>
        <w:t xml:space="preserve">tiempo restante hasta el </w:t>
      </w:r>
      <w:r w:rsidR="00C2129A" w:rsidRPr="000E0B7B">
        <w:rPr>
          <w:rFonts w:ascii="Verdana" w:hAnsi="Verdana"/>
          <w:i/>
          <w:iCs/>
          <w:sz w:val="20"/>
          <w:lang w:val="es-ES_tradnl"/>
        </w:rPr>
        <w:t>j-</w:t>
      </w:r>
      <w:r w:rsidR="00C2129A" w:rsidRPr="000E0B7B">
        <w:rPr>
          <w:rFonts w:ascii="Verdana" w:hAnsi="Verdana"/>
          <w:sz w:val="20"/>
          <w:lang w:val="es-ES_tradnl"/>
        </w:rPr>
        <w:t>ésimo flujo medido en número de años (número de días/365).</w:t>
      </w:r>
    </w:p>
    <w:p w14:paraId="1C97A444" w14:textId="77777777" w:rsidR="00C2129A" w:rsidRDefault="00C2129A" w:rsidP="00C2129A">
      <w:pPr>
        <w:pStyle w:val="Textoindependiente"/>
        <w:rPr>
          <w:rFonts w:ascii="Verdana" w:hAnsi="Verdana"/>
          <w:i/>
          <w:iCs/>
          <w:sz w:val="20"/>
          <w:lang w:val="es-ES_tradnl"/>
        </w:rPr>
      </w:pPr>
    </w:p>
    <w:p w14:paraId="00858D2A" w14:textId="77777777" w:rsidR="00C2129A" w:rsidRPr="000E0B7B" w:rsidRDefault="00C2129A" w:rsidP="00C2129A">
      <w:pPr>
        <w:pStyle w:val="Textoindependiente"/>
        <w:rPr>
          <w:rFonts w:ascii="Verdana" w:hAnsi="Verdana"/>
          <w:sz w:val="20"/>
          <w:lang w:val="es-ES_tradnl"/>
        </w:rPr>
      </w:pPr>
      <m:oMath>
        <m:r>
          <w:rPr>
            <w:rFonts w:ascii="Cambria Math" w:hAnsi="Cambria Math"/>
            <w:sz w:val="20"/>
          </w:rPr>
          <m:t>r</m:t>
        </m:r>
      </m:oMath>
      <w:r>
        <w:rPr>
          <w:rFonts w:ascii="Verdana" w:hAnsi="Verdana"/>
          <w:sz w:val="20"/>
        </w:rPr>
        <w:t>: ú</w:t>
      </w:r>
      <w:proofErr w:type="spellStart"/>
      <w:r w:rsidRPr="000E0B7B">
        <w:rPr>
          <w:rFonts w:ascii="Verdana" w:hAnsi="Verdana"/>
          <w:sz w:val="20"/>
          <w:lang w:val="es-ES_tradnl"/>
        </w:rPr>
        <w:t>ltimo</w:t>
      </w:r>
      <w:proofErr w:type="spellEnd"/>
      <w:r w:rsidRPr="000E0B7B">
        <w:rPr>
          <w:rFonts w:ascii="Verdana" w:hAnsi="Verdana"/>
          <w:sz w:val="20"/>
          <w:lang w:val="es-ES_tradnl"/>
        </w:rPr>
        <w:t xml:space="preserve"> rendimiento disponible en la fecha de cálculo (tasa efectiva anual). Es decir, la última tasa de descuento disponible para el título, de acuerdo con la información para valoración suministrada por el proveedor de precios designado como oficial para el segmento correspondiente.</w:t>
      </w:r>
    </w:p>
    <w:p w14:paraId="1E852A2D" w14:textId="77777777" w:rsidR="00C2129A" w:rsidRDefault="00C2129A" w:rsidP="00C2129A">
      <w:pPr>
        <w:pStyle w:val="Textoindependiente"/>
        <w:rPr>
          <w:rFonts w:ascii="Verdana" w:hAnsi="Verdana"/>
          <w:i/>
          <w:iCs/>
          <w:sz w:val="20"/>
          <w:lang w:val="es-ES_tradnl"/>
        </w:rPr>
      </w:pPr>
    </w:p>
    <w:p w14:paraId="75AFB060" w14:textId="77777777" w:rsidR="00C2129A" w:rsidRPr="000E0B7B" w:rsidRDefault="00C2129A" w:rsidP="00C2129A">
      <w:pPr>
        <w:pStyle w:val="Textoindependiente"/>
        <w:rPr>
          <w:rFonts w:ascii="Verdana" w:hAnsi="Verdana"/>
          <w:sz w:val="20"/>
          <w:lang w:val="es-ES_tradnl"/>
        </w:rPr>
      </w:pPr>
      <m:oMath>
        <m:r>
          <w:rPr>
            <w:rFonts w:ascii="Cambria Math" w:hAnsi="Cambria Math"/>
            <w:sz w:val="20"/>
          </w:rPr>
          <m:t>m</m:t>
        </m:r>
      </m:oMath>
      <w:r>
        <w:rPr>
          <w:rFonts w:ascii="Verdana" w:hAnsi="Verdana"/>
          <w:sz w:val="20"/>
        </w:rPr>
        <w:t>:</w:t>
      </w:r>
      <w:r>
        <w:rPr>
          <w:rFonts w:ascii="Verdana" w:hAnsi="Verdana"/>
          <w:i/>
          <w:iCs/>
          <w:sz w:val="20"/>
        </w:rPr>
        <w:t xml:space="preserve"> </w:t>
      </w:r>
      <w:r>
        <w:rPr>
          <w:rFonts w:ascii="Verdana" w:hAnsi="Verdana"/>
          <w:sz w:val="20"/>
        </w:rPr>
        <w:t>n</w:t>
      </w:r>
      <w:proofErr w:type="spellStart"/>
      <w:r w:rsidRPr="000E0B7B">
        <w:rPr>
          <w:rFonts w:ascii="Verdana" w:hAnsi="Verdana"/>
          <w:sz w:val="20"/>
          <w:lang w:val="es-ES_tradnl"/>
        </w:rPr>
        <w:t>úmero</w:t>
      </w:r>
      <w:proofErr w:type="spellEnd"/>
      <w:r w:rsidRPr="000E0B7B">
        <w:rPr>
          <w:rFonts w:ascii="Verdana" w:hAnsi="Verdana"/>
          <w:sz w:val="20"/>
          <w:lang w:val="es-ES_tradnl"/>
        </w:rPr>
        <w:t xml:space="preserve"> de flujos futuros de efectivo asociados al instrumento.</w:t>
      </w:r>
    </w:p>
    <w:p w14:paraId="5CB13404" w14:textId="7D3A01E0" w:rsidR="00A83C87" w:rsidRPr="000E0B7B" w:rsidRDefault="00A83C87" w:rsidP="00A83C87">
      <w:pPr>
        <w:spacing w:after="0"/>
        <w:rPr>
          <w:rFonts w:ascii="Verdana" w:hAnsi="Verdana"/>
          <w:sz w:val="20"/>
          <w:szCs w:val="20"/>
        </w:rPr>
      </w:pPr>
    </w:p>
    <w:p w14:paraId="15257651" w14:textId="77777777" w:rsidR="00A83C87" w:rsidRPr="00714526" w:rsidRDefault="00A83C87" w:rsidP="00A83C87">
      <w:pPr>
        <w:spacing w:after="0" w:line="240" w:lineRule="auto"/>
        <w:jc w:val="both"/>
        <w:rPr>
          <w:rFonts w:ascii="Verdana" w:eastAsia="Times New Roman" w:hAnsi="Verdana" w:cs="Arial"/>
          <w:sz w:val="20"/>
          <w:szCs w:val="20"/>
          <w:lang w:val="es-ES" w:eastAsia="es-ES"/>
        </w:rPr>
      </w:pPr>
      <w:r w:rsidRPr="00714526">
        <w:rPr>
          <w:rFonts w:ascii="Verdana" w:eastAsia="Times New Roman" w:hAnsi="Verdana" w:cs="Arial"/>
          <w:sz w:val="20"/>
          <w:szCs w:val="20"/>
          <w:lang w:val="es-ES" w:eastAsia="es-ES"/>
        </w:rPr>
        <w:t>La duración deberá ser menor que la madurez contractual del instrumento, salvo en aquellos casos en que el instrumento tiene un único flujo de efectivo que ocurre en la fecha de vencimiento.</w:t>
      </w:r>
    </w:p>
    <w:p w14:paraId="5938B460"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38553C03" w14:textId="73968EA0" w:rsidR="00A83C87" w:rsidRPr="00787BC3" w:rsidRDefault="00A83C87" w:rsidP="00787BC3">
      <w:pPr>
        <w:pStyle w:val="Prrafodelista"/>
        <w:numPr>
          <w:ilvl w:val="1"/>
          <w:numId w:val="28"/>
        </w:numPr>
        <w:ind w:left="851" w:hanging="284"/>
        <w:jc w:val="both"/>
        <w:rPr>
          <w:rFonts w:ascii="Verdana" w:eastAsia="Times New Roman" w:hAnsi="Verdana" w:cs="Arial"/>
          <w:sz w:val="20"/>
          <w:szCs w:val="20"/>
          <w:lang w:val="es-ES" w:eastAsia="es-ES"/>
        </w:rPr>
      </w:pPr>
      <w:r w:rsidRPr="00787BC3">
        <w:rPr>
          <w:rFonts w:ascii="Verdana" w:hAnsi="Verdana"/>
          <w:b/>
          <w:bCs/>
          <w:sz w:val="20"/>
          <w:szCs w:val="20"/>
        </w:rPr>
        <w:t>Duración de instrumentos pactados a tasa variable con y sin margen</w:t>
      </w:r>
    </w:p>
    <w:p w14:paraId="38EC0AD8" w14:textId="56B0D62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49</w:t>
      </w:r>
      <w:r w:rsidRPr="000E0B7B">
        <w:rPr>
          <w:rFonts w:ascii="Verdana" w:hAnsi="Verdana"/>
          <w:sz w:val="20"/>
          <w:szCs w:val="20"/>
        </w:rPr>
        <w:t>.</w:t>
      </w:r>
    </w:p>
    <w:p w14:paraId="5268CC72" w14:textId="77777777" w:rsidR="00A83C87" w:rsidRDefault="00A83C87" w:rsidP="00A83C87">
      <w:pPr>
        <w:spacing w:after="0" w:line="240" w:lineRule="auto"/>
        <w:jc w:val="both"/>
        <w:rPr>
          <w:rFonts w:ascii="Verdana" w:eastAsia="Times New Roman" w:hAnsi="Verdana" w:cs="Arial"/>
          <w:sz w:val="20"/>
          <w:szCs w:val="20"/>
          <w:lang w:val="es-ES" w:eastAsia="es-ES"/>
        </w:rPr>
      </w:pPr>
      <w:r w:rsidRPr="00C11517">
        <w:rPr>
          <w:rFonts w:ascii="Verdana" w:eastAsia="Times New Roman" w:hAnsi="Verdana" w:cs="Arial"/>
          <w:sz w:val="20"/>
          <w:szCs w:val="20"/>
          <w:lang w:val="es-ES" w:eastAsia="es-ES"/>
        </w:rPr>
        <w:t>La duración de los títulos “tasa variable” pactados a tasas de referencia locales o internacionales corresponderá al periodo de tiempo existente hasta el siguiente reprecio, es decir, hasta el siguiente momento en que se revise la tasa para calcular el pago del cupón. Dicha duración deberá ser calculada en número de años.</w:t>
      </w:r>
    </w:p>
    <w:p w14:paraId="175C5632" w14:textId="77777777" w:rsidR="005E5719" w:rsidRDefault="005E5719" w:rsidP="00A83C87">
      <w:pPr>
        <w:spacing w:after="0" w:line="240" w:lineRule="auto"/>
        <w:jc w:val="both"/>
        <w:rPr>
          <w:rFonts w:ascii="Verdana" w:eastAsia="Times New Roman" w:hAnsi="Verdana" w:cs="Arial"/>
          <w:sz w:val="20"/>
          <w:szCs w:val="20"/>
          <w:lang w:val="es-ES" w:eastAsia="es-ES"/>
        </w:rPr>
      </w:pPr>
    </w:p>
    <w:p w14:paraId="21C0EA15" w14:textId="77777777" w:rsidR="005E5719" w:rsidRDefault="005E5719" w:rsidP="00A83C87">
      <w:pPr>
        <w:spacing w:after="0" w:line="240" w:lineRule="auto"/>
        <w:jc w:val="both"/>
        <w:rPr>
          <w:rFonts w:ascii="Verdana" w:eastAsia="Times New Roman" w:hAnsi="Verdana" w:cs="Arial"/>
          <w:sz w:val="20"/>
          <w:szCs w:val="20"/>
          <w:lang w:val="es-ES" w:eastAsia="es-ES"/>
        </w:rPr>
      </w:pPr>
    </w:p>
    <w:p w14:paraId="61192FC7" w14:textId="77777777" w:rsidR="00BE713D" w:rsidRPr="00C11517" w:rsidRDefault="00BE713D" w:rsidP="00A83C87">
      <w:pPr>
        <w:spacing w:after="0" w:line="240" w:lineRule="auto"/>
        <w:jc w:val="both"/>
        <w:rPr>
          <w:rFonts w:ascii="Verdana" w:eastAsia="Times New Roman" w:hAnsi="Verdana" w:cs="Arial"/>
          <w:sz w:val="20"/>
          <w:szCs w:val="20"/>
          <w:lang w:val="es-ES" w:eastAsia="es-ES"/>
        </w:rPr>
      </w:pPr>
    </w:p>
    <w:p w14:paraId="1978124D" w14:textId="77777777" w:rsidR="00A83C87" w:rsidRPr="009C60D9" w:rsidRDefault="00A83C87" w:rsidP="00A83C87">
      <w:pPr>
        <w:spacing w:after="0" w:line="240" w:lineRule="auto"/>
        <w:ind w:hanging="284"/>
        <w:jc w:val="both"/>
        <w:rPr>
          <w:rFonts w:ascii="Verdana" w:eastAsia="Times New Roman" w:hAnsi="Verdana" w:cs="Arial"/>
          <w:sz w:val="20"/>
          <w:szCs w:val="20"/>
          <w:lang w:val="es-ES" w:eastAsia="es-ES"/>
        </w:rPr>
      </w:pPr>
    </w:p>
    <w:p w14:paraId="1DBE41A2" w14:textId="71EA9858" w:rsidR="00A83C87" w:rsidRPr="00CD2BC9" w:rsidRDefault="00A83C87" w:rsidP="00CD2BC9">
      <w:pPr>
        <w:pStyle w:val="Prrafodelista"/>
        <w:numPr>
          <w:ilvl w:val="1"/>
          <w:numId w:val="28"/>
        </w:numPr>
        <w:ind w:left="851" w:hanging="284"/>
        <w:jc w:val="both"/>
        <w:rPr>
          <w:rFonts w:ascii="Verdana" w:eastAsia="Times New Roman" w:hAnsi="Verdana" w:cs="Arial"/>
          <w:sz w:val="20"/>
          <w:szCs w:val="20"/>
          <w:lang w:val="es-ES" w:eastAsia="es-ES"/>
        </w:rPr>
      </w:pPr>
      <w:r w:rsidRPr="00CD2BC9">
        <w:rPr>
          <w:rFonts w:ascii="Verdana" w:hAnsi="Verdana"/>
          <w:b/>
          <w:bCs/>
          <w:sz w:val="20"/>
          <w:szCs w:val="20"/>
        </w:rPr>
        <w:lastRenderedPageBreak/>
        <w:t>Duración de instrumentos pactados en UVR</w:t>
      </w:r>
    </w:p>
    <w:p w14:paraId="26E8AEEE" w14:textId="6C67F13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5</w:t>
      </w:r>
      <w:r w:rsidR="00C2129A">
        <w:rPr>
          <w:rFonts w:ascii="Verdana" w:hAnsi="Verdana"/>
          <w:sz w:val="20"/>
          <w:szCs w:val="20"/>
        </w:rPr>
        <w:t>0</w:t>
      </w:r>
      <w:r w:rsidRPr="000E0B7B">
        <w:rPr>
          <w:rFonts w:ascii="Verdana" w:hAnsi="Verdana"/>
          <w:sz w:val="20"/>
          <w:szCs w:val="20"/>
        </w:rPr>
        <w:t>.</w:t>
      </w:r>
    </w:p>
    <w:p w14:paraId="478BBA73" w14:textId="363A5768"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calcular la duración de los instrumentos financieros pactados en UVR, los flujos futuros de efectivo deben proyectarse teniendo en cuenta la tasa pactada en UVR. La duración en este caso se calcula siguiendo el </w:t>
      </w:r>
      <w:r w:rsidRPr="006B277C">
        <w:rPr>
          <w:rFonts w:ascii="Verdana" w:eastAsia="Times New Roman" w:hAnsi="Verdana" w:cs="Arial"/>
          <w:sz w:val="20"/>
          <w:szCs w:val="20"/>
          <w:lang w:val="es-ES" w:eastAsia="es-ES"/>
        </w:rPr>
        <w:t>procedimiento establecido en el</w:t>
      </w:r>
      <w:r w:rsidR="006B277C" w:rsidRPr="006B277C">
        <w:rPr>
          <w:rFonts w:ascii="Verdana" w:eastAsia="Times New Roman" w:hAnsi="Verdana" w:cs="Arial"/>
          <w:sz w:val="20"/>
          <w:szCs w:val="20"/>
          <w:lang w:val="es-ES" w:eastAsia="es-ES"/>
        </w:rPr>
        <w:t xml:space="preserve"> párrafo 1.1.A8.48.</w:t>
      </w:r>
    </w:p>
    <w:p w14:paraId="567CAD63" w14:textId="77777777" w:rsidR="00A83C87" w:rsidRPr="009C60D9" w:rsidRDefault="00A83C87" w:rsidP="00A83C87">
      <w:pPr>
        <w:spacing w:after="0" w:line="240" w:lineRule="auto"/>
        <w:ind w:left="284"/>
        <w:jc w:val="both"/>
        <w:rPr>
          <w:rFonts w:ascii="Verdana" w:eastAsia="Times New Roman" w:hAnsi="Verdana" w:cs="Arial"/>
          <w:sz w:val="20"/>
          <w:szCs w:val="20"/>
          <w:lang w:val="es-ES" w:eastAsia="es-ES"/>
        </w:rPr>
      </w:pPr>
    </w:p>
    <w:p w14:paraId="0814801E" w14:textId="5BDD780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5</w:t>
      </w:r>
      <w:r w:rsidR="00C2129A">
        <w:rPr>
          <w:rFonts w:ascii="Verdana" w:hAnsi="Verdana"/>
          <w:sz w:val="20"/>
          <w:szCs w:val="20"/>
        </w:rPr>
        <w:t>1</w:t>
      </w:r>
      <w:r w:rsidRPr="000E0B7B">
        <w:rPr>
          <w:rFonts w:ascii="Verdana" w:hAnsi="Verdana"/>
          <w:sz w:val="20"/>
          <w:szCs w:val="20"/>
        </w:rPr>
        <w:t>.</w:t>
      </w:r>
    </w:p>
    <w:p w14:paraId="1583A78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Cabe aclarar que el cálculo de la duración no se ve afectado por la unidad en que estén denominados los flujos de efectivo al momento de realizarlo.</w:t>
      </w:r>
    </w:p>
    <w:p w14:paraId="76BE114C"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4C014A13" w14:textId="56DBCBB2" w:rsidR="00A83C87" w:rsidRPr="00CD2BC9" w:rsidRDefault="00A83C87" w:rsidP="00CD2BC9">
      <w:pPr>
        <w:pStyle w:val="Prrafodelista"/>
        <w:numPr>
          <w:ilvl w:val="1"/>
          <w:numId w:val="28"/>
        </w:numPr>
        <w:ind w:left="851" w:hanging="284"/>
        <w:jc w:val="both"/>
        <w:rPr>
          <w:rFonts w:ascii="Verdana" w:eastAsia="Times New Roman" w:hAnsi="Verdana" w:cs="Arial"/>
          <w:sz w:val="20"/>
          <w:szCs w:val="20"/>
          <w:lang w:val="es-ES" w:eastAsia="es-ES"/>
        </w:rPr>
      </w:pPr>
      <w:r w:rsidRPr="00CD2BC9">
        <w:rPr>
          <w:rFonts w:ascii="Verdana" w:hAnsi="Verdana"/>
          <w:b/>
          <w:bCs/>
          <w:sz w:val="20"/>
          <w:szCs w:val="20"/>
        </w:rPr>
        <w:t>Duración de instrumentos pactados en moneda extranjera</w:t>
      </w:r>
    </w:p>
    <w:p w14:paraId="688392A4" w14:textId="076807D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52</w:t>
      </w:r>
      <w:r w:rsidRPr="000E0B7B">
        <w:rPr>
          <w:rFonts w:ascii="Verdana" w:hAnsi="Verdana"/>
          <w:sz w:val="20"/>
          <w:szCs w:val="20"/>
        </w:rPr>
        <w:t>.</w:t>
      </w:r>
    </w:p>
    <w:p w14:paraId="1A9D9252" w14:textId="4F2344E8"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calcular la duración de los instrumentos financieros pactados en moneda extranjera, los flujos futuros de efectivo deben proyectarse teniendo en cuenta la tasa pactada en la moneda original. L</w:t>
      </w:r>
      <w:r w:rsidRPr="00BE713D">
        <w:rPr>
          <w:rFonts w:ascii="Verdana" w:eastAsia="Times New Roman" w:hAnsi="Verdana" w:cs="Arial"/>
          <w:sz w:val="20"/>
          <w:szCs w:val="20"/>
          <w:lang w:val="es-ES" w:eastAsia="es-ES"/>
        </w:rPr>
        <w:t>a duración en este caso se calcula siguiendo el procedimiento establecido e</w:t>
      </w:r>
      <w:r w:rsidR="00F6189F" w:rsidRPr="00BE713D">
        <w:rPr>
          <w:rFonts w:ascii="Verdana" w:eastAsia="Times New Roman" w:hAnsi="Verdana" w:cs="Arial"/>
          <w:sz w:val="20"/>
          <w:szCs w:val="20"/>
          <w:lang w:val="es-ES" w:eastAsia="es-ES"/>
        </w:rPr>
        <w:t>ntre los párrafos</w:t>
      </w:r>
      <w:r w:rsidR="00F6189F">
        <w:rPr>
          <w:rFonts w:ascii="Verdana" w:eastAsia="Times New Roman" w:hAnsi="Verdana" w:cs="Arial"/>
          <w:sz w:val="20"/>
          <w:szCs w:val="20"/>
          <w:lang w:val="es-ES" w:eastAsia="es-ES"/>
        </w:rPr>
        <w:t xml:space="preserve"> 1.1.A8.48. y 1.1.A8.</w:t>
      </w:r>
      <w:r w:rsidR="00A2057C">
        <w:rPr>
          <w:rFonts w:ascii="Verdana" w:eastAsia="Times New Roman" w:hAnsi="Verdana" w:cs="Arial"/>
          <w:sz w:val="20"/>
          <w:szCs w:val="20"/>
          <w:lang w:val="es-ES" w:eastAsia="es-ES"/>
        </w:rPr>
        <w:t>49.</w:t>
      </w:r>
      <w:r w:rsidR="00F6189F">
        <w:rPr>
          <w:rFonts w:ascii="Verdana" w:eastAsia="Times New Roman" w:hAnsi="Verdana" w:cs="Arial"/>
          <w:sz w:val="20"/>
          <w:szCs w:val="20"/>
          <w:lang w:val="es-ES" w:eastAsia="es-ES"/>
        </w:rPr>
        <w:t xml:space="preserve"> </w:t>
      </w:r>
    </w:p>
    <w:p w14:paraId="2A03071E"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134CDA2" w14:textId="1FB6992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53</w:t>
      </w:r>
      <w:r w:rsidRPr="000E0B7B">
        <w:rPr>
          <w:rFonts w:ascii="Verdana" w:hAnsi="Verdana"/>
          <w:sz w:val="20"/>
          <w:szCs w:val="20"/>
        </w:rPr>
        <w:t>.</w:t>
      </w:r>
    </w:p>
    <w:p w14:paraId="71C1A17B"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Cabe aclarar que el cálculo de la duración no se ve afectado por la unidad en que estén denominados los flujos de efectivo al momento de realizarlo.</w:t>
      </w:r>
    </w:p>
    <w:p w14:paraId="2C5CDF86"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1EF0D8E3" w14:textId="1BB8CD5C" w:rsidR="00A83C87" w:rsidRPr="00CD2BC9" w:rsidRDefault="00A83C87" w:rsidP="00CD2BC9">
      <w:pPr>
        <w:pStyle w:val="Prrafodelista"/>
        <w:numPr>
          <w:ilvl w:val="1"/>
          <w:numId w:val="28"/>
        </w:numPr>
        <w:ind w:left="851" w:hanging="284"/>
        <w:jc w:val="both"/>
        <w:rPr>
          <w:rFonts w:ascii="Verdana" w:eastAsia="Times New Roman" w:hAnsi="Verdana" w:cs="Arial"/>
          <w:sz w:val="20"/>
          <w:szCs w:val="20"/>
          <w:lang w:val="es-ES" w:eastAsia="es-ES"/>
        </w:rPr>
      </w:pPr>
      <w:r w:rsidRPr="00CD2BC9">
        <w:rPr>
          <w:rFonts w:ascii="Verdana" w:hAnsi="Verdana"/>
          <w:b/>
          <w:bCs/>
          <w:sz w:val="20"/>
          <w:szCs w:val="20"/>
        </w:rPr>
        <w:t>Duración de instrumentos con opción de prepago</w:t>
      </w:r>
    </w:p>
    <w:p w14:paraId="18BD515D" w14:textId="07461B2D"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54</w:t>
      </w:r>
      <w:r w:rsidRPr="000E0B7B">
        <w:rPr>
          <w:rFonts w:ascii="Verdana" w:hAnsi="Verdana"/>
          <w:sz w:val="20"/>
          <w:szCs w:val="20"/>
        </w:rPr>
        <w:t>.</w:t>
      </w:r>
    </w:p>
    <w:p w14:paraId="31E71F8C" w14:textId="0C0D51E5" w:rsidR="00A83C87" w:rsidRPr="009C60D9" w:rsidRDefault="00A83C87" w:rsidP="00A83C87">
      <w:pPr>
        <w:spacing w:after="0" w:line="240" w:lineRule="auto"/>
        <w:contextualSpacing/>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En el caso de los títulos que incorporen opción </w:t>
      </w:r>
      <w:r w:rsidRPr="00B34CB6">
        <w:rPr>
          <w:rFonts w:ascii="Verdana" w:eastAsia="Times New Roman" w:hAnsi="Verdana" w:cs="Arial"/>
          <w:sz w:val="20"/>
          <w:szCs w:val="20"/>
          <w:lang w:val="es-ES" w:eastAsia="es-ES"/>
        </w:rPr>
        <w:t xml:space="preserve">de prepagos, su duración se debe calcular de acuerdo con la expresión mencionada en </w:t>
      </w:r>
      <w:r w:rsidR="00B34CB6" w:rsidRPr="00B34CB6">
        <w:rPr>
          <w:rFonts w:ascii="Verdana" w:eastAsia="Times New Roman" w:hAnsi="Verdana" w:cs="Arial"/>
          <w:sz w:val="20"/>
          <w:szCs w:val="20"/>
          <w:lang w:val="es-ES" w:eastAsia="es-ES"/>
        </w:rPr>
        <w:t>el párrafo 1.1.A8.48</w:t>
      </w:r>
      <w:r w:rsidRPr="00B34CB6">
        <w:rPr>
          <w:rFonts w:ascii="Verdana" w:eastAsia="Times New Roman" w:hAnsi="Verdana" w:cs="Arial"/>
          <w:sz w:val="20"/>
          <w:szCs w:val="20"/>
          <w:lang w:val="es-ES" w:eastAsia="es-ES"/>
        </w:rPr>
        <w:t>, utilizándose como refere</w:t>
      </w:r>
      <w:r w:rsidRPr="00B67B2E">
        <w:rPr>
          <w:rFonts w:ascii="Verdana" w:eastAsia="Times New Roman" w:hAnsi="Verdana" w:cs="Arial"/>
          <w:sz w:val="20"/>
          <w:szCs w:val="20"/>
          <w:lang w:val="es-ES" w:eastAsia="es-ES"/>
        </w:rPr>
        <w:t xml:space="preserve">ncia los escenarios de prepago que se emplean para su valoración a precios de mercado, de acuerdo con lo establecido en </w:t>
      </w:r>
      <w:r w:rsidR="00B67B2E" w:rsidRPr="00B67B2E">
        <w:rPr>
          <w:rFonts w:ascii="Verdana" w:eastAsia="Times New Roman" w:hAnsi="Verdana" w:cs="Arial"/>
          <w:sz w:val="20"/>
          <w:szCs w:val="20"/>
          <w:lang w:val="es-ES" w:eastAsia="es-ES"/>
        </w:rPr>
        <w:t>la sección 1 del capítulo 4 de la parte 3 de la CBF.</w:t>
      </w:r>
      <w:r w:rsidR="00B67B2E">
        <w:rPr>
          <w:rFonts w:ascii="Verdana" w:eastAsia="Times New Roman" w:hAnsi="Verdana" w:cs="Arial"/>
          <w:sz w:val="20"/>
          <w:szCs w:val="20"/>
          <w:lang w:val="es-ES" w:eastAsia="es-ES"/>
        </w:rPr>
        <w:t xml:space="preserve"> </w:t>
      </w:r>
    </w:p>
    <w:p w14:paraId="0AB211A2"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6EA0385D" w14:textId="356E6C4E" w:rsidR="00A83C87" w:rsidRPr="00CD2BC9" w:rsidRDefault="00A83C87" w:rsidP="00CD2BC9">
      <w:pPr>
        <w:pStyle w:val="Prrafodelista"/>
        <w:numPr>
          <w:ilvl w:val="0"/>
          <w:numId w:val="27"/>
        </w:numPr>
        <w:ind w:left="426" w:hanging="426"/>
        <w:jc w:val="both"/>
        <w:rPr>
          <w:rFonts w:ascii="Verdana" w:hAnsi="Verdana"/>
          <w:sz w:val="20"/>
          <w:szCs w:val="20"/>
        </w:rPr>
      </w:pPr>
      <w:r w:rsidRPr="00CD2BC9">
        <w:rPr>
          <w:rFonts w:ascii="Verdana" w:hAnsi="Verdana"/>
          <w:b/>
          <w:bCs/>
          <w:sz w:val="20"/>
          <w:szCs w:val="20"/>
        </w:rPr>
        <w:t>Cálculo de los componentes de la exposición a riesgo de tasas de interés.</w:t>
      </w:r>
    </w:p>
    <w:p w14:paraId="139F3A8A" w14:textId="3874C60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55</w:t>
      </w:r>
      <w:r w:rsidRPr="000E0B7B">
        <w:rPr>
          <w:rFonts w:ascii="Verdana" w:hAnsi="Verdana"/>
          <w:sz w:val="20"/>
          <w:szCs w:val="20"/>
        </w:rPr>
        <w:t>.</w:t>
      </w:r>
    </w:p>
    <w:p w14:paraId="5E958DD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calcular la exposición al riesgo de tasa de interés deben seguirse los siguientes pasos:</w:t>
      </w:r>
    </w:p>
    <w:p w14:paraId="2A6F0C1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0D54049E" w14:textId="6ABD1A90" w:rsidR="00A83C87" w:rsidRPr="00B804B0" w:rsidRDefault="00A83C87" w:rsidP="00B804B0">
      <w:pPr>
        <w:pStyle w:val="Prrafodelista"/>
        <w:numPr>
          <w:ilvl w:val="0"/>
          <w:numId w:val="28"/>
        </w:numPr>
        <w:ind w:left="567" w:hanging="283"/>
        <w:jc w:val="both"/>
        <w:rPr>
          <w:rFonts w:ascii="Verdana" w:eastAsia="Times New Roman" w:hAnsi="Verdana" w:cs="Arial"/>
          <w:sz w:val="20"/>
          <w:szCs w:val="20"/>
          <w:lang w:val="es-ES" w:eastAsia="es-ES"/>
        </w:rPr>
      </w:pPr>
      <w:r w:rsidRPr="00B804B0">
        <w:rPr>
          <w:rFonts w:ascii="Verdana" w:hAnsi="Verdana"/>
          <w:b/>
          <w:bCs/>
          <w:sz w:val="20"/>
          <w:szCs w:val="20"/>
        </w:rPr>
        <w:t>Cálculo de las sensibilidades</w:t>
      </w:r>
    </w:p>
    <w:p w14:paraId="6B41E834" w14:textId="44A1556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56</w:t>
      </w:r>
      <w:r w:rsidRPr="000E0B7B">
        <w:rPr>
          <w:rFonts w:ascii="Verdana" w:hAnsi="Verdana"/>
          <w:sz w:val="20"/>
          <w:szCs w:val="20"/>
        </w:rPr>
        <w:t>.</w:t>
      </w:r>
    </w:p>
    <w:p w14:paraId="5A76112E" w14:textId="273A78E6" w:rsidR="00A83C87" w:rsidRPr="00AD44DF" w:rsidRDefault="00A83C87" w:rsidP="00A83C87">
      <w:pPr>
        <w:spacing w:after="0" w:line="240" w:lineRule="auto"/>
        <w:jc w:val="both"/>
        <w:rPr>
          <w:rFonts w:ascii="Verdana" w:eastAsia="Times New Roman" w:hAnsi="Verdana" w:cs="Arial"/>
          <w:sz w:val="20"/>
          <w:szCs w:val="20"/>
          <w:lang w:val="es-ES" w:eastAsia="es-ES"/>
        </w:rPr>
      </w:pPr>
      <w:r w:rsidRPr="00AD44DF">
        <w:rPr>
          <w:rFonts w:ascii="Verdana" w:eastAsia="Times New Roman" w:hAnsi="Verdana" w:cs="Arial"/>
          <w:sz w:val="20"/>
          <w:szCs w:val="20"/>
          <w:lang w:val="es-ES" w:eastAsia="es-ES"/>
        </w:rPr>
        <w:t xml:space="preserve">La sensibilidad neta de las posiciones en cada instrumento frente a cambios en la tasa de interés debe calcularse multiplicando la posición neta en dicho instrumento por su duración modificada y por el cambio asumido en la tasa de interés para la banda y moneda correspondientes según lo registrado en la </w:t>
      </w:r>
      <w:r w:rsidR="005B36DD">
        <w:rPr>
          <w:rFonts w:ascii="Verdana" w:eastAsia="Times New Roman" w:hAnsi="Verdana" w:cs="Arial"/>
          <w:sz w:val="20"/>
          <w:szCs w:val="20"/>
          <w:lang w:val="es-ES" w:eastAsia="es-ES"/>
        </w:rPr>
        <w:t>t</w:t>
      </w:r>
      <w:r w:rsidRPr="00AD44DF">
        <w:rPr>
          <w:rFonts w:ascii="Verdana" w:eastAsia="Times New Roman" w:hAnsi="Verdana" w:cs="Arial"/>
          <w:sz w:val="20"/>
          <w:szCs w:val="20"/>
          <w:lang w:val="es-ES" w:eastAsia="es-ES"/>
        </w:rPr>
        <w:t>abla 1.</w:t>
      </w:r>
    </w:p>
    <w:p w14:paraId="7E7E04B9" w14:textId="77777777" w:rsidR="00A83C87" w:rsidRPr="009C60D9" w:rsidRDefault="00A83C87" w:rsidP="00A83C87">
      <w:pPr>
        <w:pStyle w:val="Prrafodelista"/>
        <w:spacing w:after="0" w:line="240" w:lineRule="auto"/>
        <w:ind w:left="567" w:hanging="283"/>
        <w:jc w:val="both"/>
        <w:rPr>
          <w:rFonts w:ascii="Verdana" w:eastAsia="Times New Roman" w:hAnsi="Verdana" w:cs="Arial"/>
          <w:sz w:val="20"/>
          <w:szCs w:val="20"/>
          <w:lang w:val="es-ES" w:eastAsia="es-ES"/>
        </w:rPr>
      </w:pPr>
    </w:p>
    <w:p w14:paraId="43882671" w14:textId="19763FE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57</w:t>
      </w:r>
      <w:r w:rsidRPr="000E0B7B">
        <w:rPr>
          <w:rFonts w:ascii="Verdana" w:hAnsi="Verdana"/>
          <w:sz w:val="20"/>
          <w:szCs w:val="20"/>
        </w:rPr>
        <w:t>.</w:t>
      </w:r>
    </w:p>
    <w:p w14:paraId="593792FE" w14:textId="006B1E06" w:rsidR="00A83C87" w:rsidRDefault="00A83C87" w:rsidP="00A83C87">
      <w:pPr>
        <w:spacing w:after="0" w:line="240" w:lineRule="auto"/>
        <w:jc w:val="both"/>
        <w:rPr>
          <w:rFonts w:ascii="Verdana" w:eastAsia="Times New Roman" w:hAnsi="Verdana" w:cs="Arial"/>
          <w:sz w:val="20"/>
          <w:szCs w:val="20"/>
          <w:lang w:val="es-ES" w:eastAsia="es-ES"/>
        </w:rPr>
      </w:pPr>
      <w:r w:rsidRPr="00AD44DF">
        <w:rPr>
          <w:rFonts w:ascii="Verdana" w:eastAsia="Times New Roman" w:hAnsi="Verdana" w:cs="Arial"/>
          <w:sz w:val="20"/>
          <w:szCs w:val="20"/>
          <w:lang w:val="es-ES" w:eastAsia="es-ES"/>
        </w:rPr>
        <w:t xml:space="preserve">Para los títulos “tasa variable” pactados a tasas de referencia nacionales, los cambios en tasa de interés aplicables para la realización del cálculo de esta sensibilidad neta corresponderán al respectivo choque de tasas registrado en la </w:t>
      </w:r>
      <w:r w:rsidR="005B36DD">
        <w:rPr>
          <w:rFonts w:ascii="Verdana" w:eastAsia="Times New Roman" w:hAnsi="Verdana" w:cs="Arial"/>
          <w:sz w:val="20"/>
          <w:szCs w:val="20"/>
          <w:lang w:val="es-ES" w:eastAsia="es-ES"/>
        </w:rPr>
        <w:t>t</w:t>
      </w:r>
      <w:r w:rsidRPr="00AD44DF">
        <w:rPr>
          <w:rFonts w:ascii="Verdana" w:eastAsia="Times New Roman" w:hAnsi="Verdana" w:cs="Arial"/>
          <w:sz w:val="20"/>
          <w:szCs w:val="20"/>
          <w:lang w:val="es-ES" w:eastAsia="es-ES"/>
        </w:rPr>
        <w:t>abla 1 para la moneda correspondiente.</w:t>
      </w:r>
    </w:p>
    <w:p w14:paraId="440F013A"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0EAED794" w14:textId="27F6FA46"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58</w:t>
      </w:r>
      <w:r w:rsidRPr="000E0B7B">
        <w:rPr>
          <w:rFonts w:ascii="Verdana" w:hAnsi="Verdana"/>
          <w:sz w:val="20"/>
          <w:szCs w:val="20"/>
        </w:rPr>
        <w:t>.</w:t>
      </w:r>
    </w:p>
    <w:p w14:paraId="64910382" w14:textId="77777777" w:rsidR="00A83C87" w:rsidRPr="00C41368" w:rsidRDefault="00A83C87" w:rsidP="00A83C87">
      <w:pPr>
        <w:spacing w:after="0" w:line="240" w:lineRule="auto"/>
        <w:jc w:val="both"/>
        <w:rPr>
          <w:rFonts w:ascii="Verdana" w:eastAsia="Times New Roman" w:hAnsi="Verdana" w:cs="Arial"/>
          <w:sz w:val="20"/>
          <w:szCs w:val="20"/>
          <w:lang w:val="es-ES" w:eastAsia="es-ES"/>
        </w:rPr>
      </w:pPr>
      <w:r w:rsidRPr="00C41368">
        <w:rPr>
          <w:rFonts w:ascii="Verdana" w:eastAsia="Times New Roman" w:hAnsi="Verdana" w:cs="Arial"/>
          <w:sz w:val="20"/>
          <w:szCs w:val="20"/>
          <w:lang w:val="es-ES" w:eastAsia="es-ES"/>
        </w:rPr>
        <w:t>Para las escaleras de moneda extranjera y UVR, las posiciones netas deben ser expresadas en términos de moneda legal, de forma tal que las sensibilidades obtenidas estén denominadas en una única moneda.</w:t>
      </w:r>
    </w:p>
    <w:p w14:paraId="2A407BA7" w14:textId="77777777" w:rsidR="00A83C87" w:rsidRPr="009C60D9" w:rsidRDefault="00A83C87" w:rsidP="00A83C87">
      <w:pPr>
        <w:pStyle w:val="Prrafodelista"/>
        <w:spacing w:after="0" w:line="240" w:lineRule="auto"/>
        <w:ind w:left="567" w:hanging="283"/>
        <w:jc w:val="both"/>
        <w:rPr>
          <w:rFonts w:ascii="Verdana" w:eastAsia="Times New Roman" w:hAnsi="Verdana" w:cs="Arial"/>
          <w:sz w:val="20"/>
          <w:szCs w:val="20"/>
          <w:lang w:val="es-ES" w:eastAsia="es-ES"/>
        </w:rPr>
      </w:pPr>
    </w:p>
    <w:p w14:paraId="06D47EF4" w14:textId="6E07D99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59</w:t>
      </w:r>
      <w:r w:rsidRPr="000E0B7B">
        <w:rPr>
          <w:rFonts w:ascii="Verdana" w:hAnsi="Verdana"/>
          <w:sz w:val="20"/>
          <w:szCs w:val="20"/>
        </w:rPr>
        <w:t>.</w:t>
      </w:r>
    </w:p>
    <w:p w14:paraId="2116FC7B" w14:textId="58FED021" w:rsidR="00A83C87" w:rsidRPr="00077EB8" w:rsidRDefault="00A83C87" w:rsidP="00A83C87">
      <w:pPr>
        <w:spacing w:after="0" w:line="240" w:lineRule="auto"/>
        <w:jc w:val="both"/>
        <w:rPr>
          <w:rFonts w:ascii="Verdana" w:eastAsia="Times New Roman" w:hAnsi="Verdana" w:cs="Arial"/>
          <w:sz w:val="20"/>
          <w:szCs w:val="20"/>
          <w:lang w:val="es-ES" w:eastAsia="es-ES"/>
        </w:rPr>
      </w:pPr>
      <w:r w:rsidRPr="00077EB8">
        <w:rPr>
          <w:rFonts w:ascii="Verdana" w:eastAsia="Times New Roman" w:hAnsi="Verdana" w:cs="Arial"/>
          <w:sz w:val="20"/>
          <w:szCs w:val="20"/>
          <w:lang w:val="es-ES" w:eastAsia="es-ES"/>
        </w:rPr>
        <w:t xml:space="preserve">Dichas sensibilidades netas se clasifican en las escaleras de bandas correspondientes a la moneda de denominación del instrumento. Para cada una de estas escaleras se calculará </w:t>
      </w:r>
      <w:r w:rsidRPr="00FB6C3C">
        <w:rPr>
          <w:rFonts w:ascii="Verdana" w:eastAsia="Times New Roman" w:hAnsi="Verdana" w:cs="Arial"/>
          <w:sz w:val="20"/>
          <w:szCs w:val="20"/>
          <w:lang w:val="es-ES" w:eastAsia="es-ES"/>
        </w:rPr>
        <w:t xml:space="preserve">separadamente la exposición a riesgo de tasa de interés, razón por la cual los procedimientos referidos en </w:t>
      </w:r>
      <w:r w:rsidR="00FB6C3C" w:rsidRPr="00FB6C3C">
        <w:rPr>
          <w:rFonts w:ascii="Verdana" w:eastAsia="Times New Roman" w:hAnsi="Verdana" w:cs="Arial"/>
          <w:sz w:val="20"/>
          <w:szCs w:val="20"/>
          <w:lang w:val="es-ES" w:eastAsia="es-ES"/>
        </w:rPr>
        <w:t>las siguientes</w:t>
      </w:r>
      <w:r w:rsidR="00FB6C3C">
        <w:rPr>
          <w:rFonts w:ascii="Verdana" w:eastAsia="Times New Roman" w:hAnsi="Verdana" w:cs="Arial"/>
          <w:sz w:val="20"/>
          <w:szCs w:val="20"/>
          <w:lang w:val="es-ES" w:eastAsia="es-ES"/>
        </w:rPr>
        <w:t xml:space="preserve"> instrucciones </w:t>
      </w:r>
      <w:r w:rsidRPr="00077EB8">
        <w:rPr>
          <w:rFonts w:ascii="Verdana" w:eastAsia="Times New Roman" w:hAnsi="Verdana" w:cs="Arial"/>
          <w:sz w:val="20"/>
          <w:szCs w:val="20"/>
          <w:lang w:val="es-ES" w:eastAsia="es-ES"/>
        </w:rPr>
        <w:t>deberán ser realizados de manera independiente sin efectuar ajustes entre sensibilidades de posiciones denominadas en unidades diferentes.</w:t>
      </w:r>
    </w:p>
    <w:p w14:paraId="09E0CA1C"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0FB65C55" w14:textId="41262DF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6</w:t>
      </w:r>
      <w:r w:rsidR="00C2129A">
        <w:rPr>
          <w:rFonts w:ascii="Verdana" w:hAnsi="Verdana"/>
          <w:sz w:val="20"/>
          <w:szCs w:val="20"/>
        </w:rPr>
        <w:t>0</w:t>
      </w:r>
      <w:r w:rsidRPr="000E0B7B">
        <w:rPr>
          <w:rFonts w:ascii="Verdana" w:hAnsi="Verdana"/>
          <w:sz w:val="20"/>
          <w:szCs w:val="20"/>
        </w:rPr>
        <w:t>.</w:t>
      </w:r>
    </w:p>
    <w:p w14:paraId="6200D948" w14:textId="77777777" w:rsidR="00A83C87" w:rsidRDefault="00A83C87" w:rsidP="00A83C87">
      <w:pPr>
        <w:spacing w:after="0" w:line="240" w:lineRule="auto"/>
        <w:jc w:val="both"/>
        <w:rPr>
          <w:rFonts w:ascii="Verdana" w:eastAsia="Times New Roman" w:hAnsi="Verdana" w:cs="Arial"/>
          <w:sz w:val="20"/>
          <w:szCs w:val="20"/>
          <w:lang w:val="es-ES" w:eastAsia="es-ES"/>
        </w:rPr>
      </w:pPr>
      <w:r w:rsidRPr="00077EB8">
        <w:rPr>
          <w:rFonts w:ascii="Verdana" w:eastAsia="Times New Roman" w:hAnsi="Verdana" w:cs="Arial"/>
          <w:sz w:val="20"/>
          <w:szCs w:val="20"/>
          <w:lang w:val="es-ES" w:eastAsia="es-ES"/>
        </w:rPr>
        <w:t>Se calcula la sensibilidad neta de cada banda como la diferencia entre la suma de las sensibilidades de las posiciones largas y la suma de las sensibilidades de las posiciones cortas clasificadas en la banda en cuestión</w:t>
      </w:r>
      <w:r>
        <w:rPr>
          <w:rFonts w:ascii="Verdana" w:eastAsia="Times New Roman" w:hAnsi="Verdana" w:cs="Arial"/>
          <w:sz w:val="20"/>
          <w:szCs w:val="20"/>
          <w:lang w:val="es-ES" w:eastAsia="es-ES"/>
        </w:rPr>
        <w:t>.</w:t>
      </w:r>
    </w:p>
    <w:p w14:paraId="70CEC9CE" w14:textId="50CC7C55" w:rsidR="00A83C87" w:rsidRPr="000E0B7B" w:rsidRDefault="00A83C87" w:rsidP="00A83C87">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6</w:t>
      </w:r>
      <w:r w:rsidR="00C2129A">
        <w:rPr>
          <w:rFonts w:ascii="Verdana" w:hAnsi="Verdana"/>
          <w:sz w:val="20"/>
          <w:szCs w:val="20"/>
        </w:rPr>
        <w:t>1</w:t>
      </w:r>
      <w:r w:rsidRPr="000E0B7B">
        <w:rPr>
          <w:rFonts w:ascii="Verdana" w:hAnsi="Verdana"/>
          <w:sz w:val="20"/>
          <w:szCs w:val="20"/>
        </w:rPr>
        <w:t>.</w:t>
      </w:r>
    </w:p>
    <w:p w14:paraId="4820C910" w14:textId="62CD5999" w:rsidR="00A83C87" w:rsidRDefault="00A83C87" w:rsidP="00A83C87">
      <w:pPr>
        <w:spacing w:after="0" w:line="240" w:lineRule="auto"/>
        <w:jc w:val="both"/>
        <w:rPr>
          <w:rFonts w:ascii="Verdana" w:eastAsia="Times New Roman" w:hAnsi="Verdana" w:cs="Arial"/>
          <w:sz w:val="20"/>
          <w:szCs w:val="20"/>
          <w:lang w:val="es-ES" w:eastAsia="es-ES"/>
        </w:rPr>
      </w:pPr>
      <w:r w:rsidRPr="00077EB8">
        <w:rPr>
          <w:rFonts w:ascii="Verdana" w:eastAsia="Times New Roman" w:hAnsi="Verdana" w:cs="Arial"/>
          <w:sz w:val="20"/>
          <w:szCs w:val="20"/>
          <w:lang w:val="es-ES" w:eastAsia="es-ES"/>
        </w:rPr>
        <w:t xml:space="preserve">Se calcula la sensibilidad neta de cada una de las 3 zonas definidas en la </w:t>
      </w:r>
      <w:r w:rsidR="00FB6C3C">
        <w:rPr>
          <w:rFonts w:ascii="Verdana" w:eastAsia="Times New Roman" w:hAnsi="Verdana" w:cs="Arial"/>
          <w:sz w:val="20"/>
          <w:szCs w:val="20"/>
          <w:lang w:val="es-ES" w:eastAsia="es-ES"/>
        </w:rPr>
        <w:t>t</w:t>
      </w:r>
      <w:r w:rsidRPr="00077EB8">
        <w:rPr>
          <w:rFonts w:ascii="Verdana" w:eastAsia="Times New Roman" w:hAnsi="Verdana" w:cs="Arial"/>
          <w:sz w:val="20"/>
          <w:szCs w:val="20"/>
          <w:lang w:val="es-ES" w:eastAsia="es-ES"/>
        </w:rPr>
        <w:t xml:space="preserve">abla 1, como la diferencia entre la suma de las sensibilidades netas positivas y el valor absoluto de la suma de las </w:t>
      </w:r>
      <w:r w:rsidRPr="005A4D96">
        <w:rPr>
          <w:rFonts w:ascii="Verdana" w:eastAsia="Times New Roman" w:hAnsi="Verdana" w:cs="Arial"/>
          <w:sz w:val="20"/>
          <w:szCs w:val="20"/>
          <w:lang w:val="es-ES" w:eastAsia="es-ES"/>
        </w:rPr>
        <w:t>sensibilidades netas negativas correspondientes a las bandas pertenecientes a dicha zona según lo calculado en e</w:t>
      </w:r>
      <w:r w:rsidR="005A4D96" w:rsidRPr="005A4D96">
        <w:rPr>
          <w:rFonts w:ascii="Verdana" w:eastAsia="Times New Roman" w:hAnsi="Verdana" w:cs="Arial"/>
          <w:sz w:val="20"/>
          <w:szCs w:val="20"/>
          <w:lang w:val="es-ES" w:eastAsia="es-ES"/>
        </w:rPr>
        <w:t>l párrafo 1.1.A8.60.</w:t>
      </w:r>
    </w:p>
    <w:p w14:paraId="2CCE53F0"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0276F1F6" w14:textId="23D7DB7B"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62</w:t>
      </w:r>
      <w:r w:rsidRPr="000E0B7B">
        <w:rPr>
          <w:rFonts w:ascii="Verdana" w:hAnsi="Verdana"/>
          <w:sz w:val="20"/>
          <w:szCs w:val="20"/>
        </w:rPr>
        <w:t>.</w:t>
      </w:r>
    </w:p>
    <w:p w14:paraId="282D20B1" w14:textId="46869EED" w:rsidR="00A83C87" w:rsidRPr="00077EB8" w:rsidRDefault="00A83C87" w:rsidP="00A83C87">
      <w:pPr>
        <w:spacing w:after="0" w:line="240" w:lineRule="auto"/>
        <w:jc w:val="both"/>
        <w:rPr>
          <w:rFonts w:ascii="Verdana" w:eastAsia="Times New Roman" w:hAnsi="Verdana" w:cs="Arial"/>
          <w:sz w:val="20"/>
          <w:szCs w:val="20"/>
          <w:lang w:val="es-ES" w:eastAsia="es-ES"/>
        </w:rPr>
      </w:pPr>
      <w:r w:rsidRPr="000217EA">
        <w:rPr>
          <w:rFonts w:ascii="Verdana" w:eastAsia="Times New Roman" w:hAnsi="Verdana" w:cs="Arial"/>
          <w:sz w:val="20"/>
          <w:szCs w:val="20"/>
          <w:lang w:val="es-ES" w:eastAsia="es-ES"/>
        </w:rPr>
        <w:t xml:space="preserve">Si las sensibilidades netas de las zonas 1 y 2, calculadas de acuerdo con </w:t>
      </w:r>
      <w:r w:rsidR="005A4D96" w:rsidRPr="000217EA">
        <w:rPr>
          <w:rFonts w:ascii="Verdana" w:eastAsia="Times New Roman" w:hAnsi="Verdana" w:cs="Arial"/>
          <w:sz w:val="20"/>
          <w:szCs w:val="20"/>
          <w:lang w:val="es-ES" w:eastAsia="es-ES"/>
        </w:rPr>
        <w:t>lo señalado en el párrafo 1.1</w:t>
      </w:r>
      <w:r w:rsidR="000217EA" w:rsidRPr="000217EA">
        <w:rPr>
          <w:rFonts w:ascii="Verdana" w:eastAsia="Times New Roman" w:hAnsi="Verdana" w:cs="Arial"/>
          <w:sz w:val="20"/>
          <w:szCs w:val="20"/>
          <w:lang w:val="es-ES" w:eastAsia="es-ES"/>
        </w:rPr>
        <w:t>.A8.61.</w:t>
      </w:r>
      <w:r w:rsidRPr="000217EA">
        <w:rPr>
          <w:rFonts w:ascii="Verdana" w:eastAsia="Times New Roman" w:hAnsi="Verdana" w:cs="Arial"/>
          <w:sz w:val="20"/>
          <w:szCs w:val="20"/>
          <w:lang w:val="es-ES" w:eastAsia="es-ES"/>
        </w:rPr>
        <w:t xml:space="preserve"> tienen signos contrarios se pueden</w:t>
      </w:r>
      <w:r w:rsidRPr="00077EB8">
        <w:rPr>
          <w:rFonts w:ascii="Verdana" w:eastAsia="Times New Roman" w:hAnsi="Verdana" w:cs="Arial"/>
          <w:sz w:val="20"/>
          <w:szCs w:val="20"/>
          <w:lang w:val="es-ES" w:eastAsia="es-ES"/>
        </w:rPr>
        <w:t xml:space="preserve"> compensar.</w:t>
      </w:r>
    </w:p>
    <w:p w14:paraId="664BF43A"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0AE54252" w14:textId="78F5D38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63</w:t>
      </w:r>
      <w:r w:rsidRPr="000E0B7B">
        <w:rPr>
          <w:rFonts w:ascii="Verdana" w:hAnsi="Verdana"/>
          <w:sz w:val="20"/>
          <w:szCs w:val="20"/>
        </w:rPr>
        <w:t>.</w:t>
      </w:r>
    </w:p>
    <w:p w14:paraId="182DF0D3" w14:textId="77777777" w:rsidR="00A83C87" w:rsidRPr="00077EB8" w:rsidRDefault="00A83C87" w:rsidP="00A83C87">
      <w:pPr>
        <w:spacing w:after="0" w:line="240" w:lineRule="auto"/>
        <w:jc w:val="both"/>
        <w:rPr>
          <w:rFonts w:ascii="Verdana" w:eastAsia="Times New Roman" w:hAnsi="Verdana" w:cs="Arial"/>
          <w:sz w:val="20"/>
          <w:szCs w:val="20"/>
          <w:lang w:val="es-ES" w:eastAsia="es-ES"/>
        </w:rPr>
      </w:pPr>
      <w:r w:rsidRPr="00077EB8">
        <w:rPr>
          <w:rFonts w:ascii="Verdana" w:eastAsia="Times New Roman" w:hAnsi="Verdana" w:cs="Arial"/>
          <w:sz w:val="20"/>
          <w:szCs w:val="20"/>
          <w:lang w:val="es-ES" w:eastAsia="es-ES"/>
        </w:rPr>
        <w:t>Si las sensibilidades netas de las zonas 1 y 2 son del mismo signo, y la sensibilidad neta de la zona 3 es de signo contrario, las sensibilidades netas de las zonas 2 y 3 se pueden compensar</w:t>
      </w:r>
    </w:p>
    <w:p w14:paraId="357C887F"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19A93E7E" w14:textId="0018AA67" w:rsidR="00A83C87" w:rsidRPr="00B804B0" w:rsidRDefault="00A83C87" w:rsidP="00B804B0">
      <w:pPr>
        <w:pStyle w:val="Prrafodelista"/>
        <w:numPr>
          <w:ilvl w:val="0"/>
          <w:numId w:val="28"/>
        </w:numPr>
        <w:ind w:left="567" w:hanging="283"/>
        <w:jc w:val="both"/>
        <w:rPr>
          <w:rFonts w:ascii="Verdana" w:hAnsi="Verdana"/>
          <w:b/>
          <w:bCs/>
          <w:sz w:val="20"/>
          <w:szCs w:val="20"/>
        </w:rPr>
      </w:pPr>
      <w:r w:rsidRPr="00B804B0">
        <w:rPr>
          <w:rFonts w:ascii="Verdana" w:hAnsi="Verdana"/>
          <w:b/>
          <w:bCs/>
          <w:sz w:val="20"/>
          <w:szCs w:val="20"/>
        </w:rPr>
        <w:t>Ajustes entre bandas y zonas</w:t>
      </w:r>
    </w:p>
    <w:p w14:paraId="0CCF2F7C" w14:textId="69941FC1"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64</w:t>
      </w:r>
      <w:r w:rsidRPr="000E0B7B">
        <w:rPr>
          <w:rFonts w:ascii="Verdana" w:hAnsi="Verdana"/>
          <w:sz w:val="20"/>
          <w:szCs w:val="20"/>
        </w:rPr>
        <w:t>.</w:t>
      </w:r>
    </w:p>
    <w:p w14:paraId="035D5502" w14:textId="0E8F152F"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Dado que las posiciones al interior de cada banda, entre bandas y entre zonas no son homogéneas, se </w:t>
      </w:r>
      <w:r w:rsidRPr="00F64FCE">
        <w:rPr>
          <w:rFonts w:ascii="Verdana" w:eastAsia="Times New Roman" w:hAnsi="Verdana" w:cs="Arial"/>
          <w:sz w:val="20"/>
          <w:szCs w:val="20"/>
          <w:lang w:val="es-ES" w:eastAsia="es-ES"/>
        </w:rPr>
        <w:t xml:space="preserve">debe realizar </w:t>
      </w:r>
      <w:r w:rsidR="00035B57">
        <w:rPr>
          <w:rFonts w:ascii="Verdana" w:eastAsia="Times New Roman" w:hAnsi="Verdana" w:cs="Arial"/>
          <w:sz w:val="20"/>
          <w:szCs w:val="20"/>
          <w:lang w:val="es-ES" w:eastAsia="es-ES"/>
        </w:rPr>
        <w:t xml:space="preserve">el </w:t>
      </w:r>
      <w:r w:rsidRPr="00F64FCE">
        <w:rPr>
          <w:rFonts w:ascii="Verdana" w:eastAsia="Times New Roman" w:hAnsi="Verdana" w:cs="Arial"/>
          <w:sz w:val="20"/>
          <w:szCs w:val="20"/>
          <w:lang w:val="es-ES" w:eastAsia="es-ES"/>
        </w:rPr>
        <w:t xml:space="preserve">ajuste de las sensibilidades calculadas </w:t>
      </w:r>
      <w:r w:rsidR="00021BAB" w:rsidRPr="00F64FCE">
        <w:rPr>
          <w:rFonts w:ascii="Verdana" w:eastAsia="Times New Roman" w:hAnsi="Verdana" w:cs="Arial"/>
          <w:sz w:val="20"/>
          <w:szCs w:val="20"/>
          <w:lang w:val="es-ES" w:eastAsia="es-ES"/>
        </w:rPr>
        <w:t>entre los párrafos</w:t>
      </w:r>
      <w:r w:rsidR="00F64FCE" w:rsidRPr="00F64FCE">
        <w:rPr>
          <w:rFonts w:ascii="Verdana" w:eastAsia="Times New Roman" w:hAnsi="Verdana" w:cs="Arial"/>
          <w:sz w:val="20"/>
          <w:szCs w:val="20"/>
          <w:lang w:val="es-ES" w:eastAsia="es-ES"/>
        </w:rPr>
        <w:t xml:space="preserve"> 1.1.A8.56. y 1.1.A863</w:t>
      </w:r>
      <w:r w:rsidR="00035B57">
        <w:rPr>
          <w:rFonts w:ascii="Verdana" w:eastAsia="Times New Roman" w:hAnsi="Verdana" w:cs="Arial"/>
          <w:sz w:val="20"/>
          <w:szCs w:val="20"/>
          <w:lang w:val="es-ES" w:eastAsia="es-ES"/>
        </w:rPr>
        <w:t xml:space="preserve">, </w:t>
      </w:r>
      <w:r w:rsidRPr="00F64FCE">
        <w:rPr>
          <w:rFonts w:ascii="Verdana" w:eastAsia="Times New Roman" w:hAnsi="Verdana" w:cs="Arial"/>
          <w:sz w:val="20"/>
          <w:szCs w:val="20"/>
          <w:lang w:val="es-ES" w:eastAsia="es-ES"/>
        </w:rPr>
        <w:t xml:space="preserve">con base en los parámetros establecidos en la </w:t>
      </w:r>
      <w:r w:rsidR="00021BAB" w:rsidRPr="00F64FCE">
        <w:rPr>
          <w:rFonts w:ascii="Verdana" w:eastAsia="Times New Roman" w:hAnsi="Verdana" w:cs="Arial"/>
          <w:sz w:val="20"/>
          <w:szCs w:val="20"/>
          <w:lang w:val="es-ES" w:eastAsia="es-ES"/>
        </w:rPr>
        <w:t>t</w:t>
      </w:r>
      <w:r w:rsidRPr="00F64FCE">
        <w:rPr>
          <w:rFonts w:ascii="Verdana" w:eastAsia="Times New Roman" w:hAnsi="Verdana" w:cs="Arial"/>
          <w:sz w:val="20"/>
          <w:szCs w:val="20"/>
          <w:lang w:val="es-ES" w:eastAsia="es-ES"/>
        </w:rPr>
        <w:t>abla 1.</w:t>
      </w:r>
    </w:p>
    <w:p w14:paraId="2E92E09B"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53BF5A99" w14:textId="1C7D446D"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65</w:t>
      </w:r>
      <w:r w:rsidRPr="000E0B7B">
        <w:rPr>
          <w:rFonts w:ascii="Verdana" w:hAnsi="Verdana"/>
          <w:sz w:val="20"/>
          <w:szCs w:val="20"/>
        </w:rPr>
        <w:t>.</w:t>
      </w:r>
    </w:p>
    <w:p w14:paraId="6F037393" w14:textId="77777777" w:rsidR="00A83C87" w:rsidRPr="00FE3B77" w:rsidRDefault="00A83C87" w:rsidP="00A83C87">
      <w:pPr>
        <w:spacing w:after="0" w:line="240" w:lineRule="auto"/>
        <w:jc w:val="both"/>
        <w:rPr>
          <w:rFonts w:ascii="Verdana" w:eastAsia="Times New Roman" w:hAnsi="Verdana" w:cs="Arial"/>
          <w:sz w:val="20"/>
          <w:szCs w:val="20"/>
          <w:lang w:val="es-ES" w:eastAsia="es-ES"/>
        </w:rPr>
      </w:pPr>
      <w:r w:rsidRPr="00FE3B77">
        <w:rPr>
          <w:rFonts w:ascii="Verdana" w:eastAsia="Times New Roman" w:hAnsi="Verdana" w:cs="Arial"/>
          <w:sz w:val="20"/>
          <w:szCs w:val="20"/>
          <w:lang w:val="es-ES" w:eastAsia="es-ES"/>
        </w:rPr>
        <w:t>El monto compensado al interior de cada banda (equivalente a la menor entre la suma de las sensibilidades de las posiciones largas y la suma de las sensibilidades de las posiciones cortas) es multiplicado por el factor de ajuste vertical indicado en la tabla 1 (β), para obtener el cargo por ajuste de sensibilidades al interior de una banda.</w:t>
      </w:r>
    </w:p>
    <w:p w14:paraId="7275BFFE" w14:textId="77777777" w:rsidR="00A83C87" w:rsidRPr="009C60D9" w:rsidRDefault="00A83C87" w:rsidP="00A83C87">
      <w:pPr>
        <w:pStyle w:val="Prrafodelista"/>
        <w:spacing w:after="0" w:line="240" w:lineRule="auto"/>
        <w:ind w:left="567" w:hanging="283"/>
        <w:jc w:val="both"/>
        <w:rPr>
          <w:rFonts w:ascii="Verdana" w:eastAsia="Times New Roman" w:hAnsi="Verdana" w:cs="Arial"/>
          <w:sz w:val="20"/>
          <w:szCs w:val="20"/>
          <w:lang w:val="es-ES" w:eastAsia="es-ES"/>
        </w:rPr>
      </w:pPr>
    </w:p>
    <w:p w14:paraId="2A535B33" w14:textId="4B8FE08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66</w:t>
      </w:r>
      <w:r w:rsidRPr="000E0B7B">
        <w:rPr>
          <w:rFonts w:ascii="Verdana" w:hAnsi="Verdana"/>
          <w:sz w:val="20"/>
          <w:szCs w:val="20"/>
        </w:rPr>
        <w:t>.</w:t>
      </w:r>
    </w:p>
    <w:p w14:paraId="5ADE8AF8" w14:textId="77777777" w:rsidR="00A83C87" w:rsidRPr="00665147" w:rsidRDefault="00A83C87" w:rsidP="00A83C87">
      <w:pPr>
        <w:spacing w:after="0" w:line="240" w:lineRule="auto"/>
        <w:jc w:val="both"/>
        <w:rPr>
          <w:rFonts w:ascii="Verdana" w:eastAsia="Times New Roman" w:hAnsi="Verdana" w:cs="Arial"/>
          <w:sz w:val="20"/>
          <w:szCs w:val="20"/>
          <w:lang w:val="es-ES" w:eastAsia="es-ES"/>
        </w:rPr>
      </w:pPr>
      <w:r w:rsidRPr="00665147">
        <w:rPr>
          <w:rFonts w:ascii="Verdana" w:eastAsia="Times New Roman" w:hAnsi="Verdana" w:cs="Arial"/>
          <w:sz w:val="20"/>
          <w:szCs w:val="20"/>
          <w:lang w:val="es-ES" w:eastAsia="es-ES"/>
        </w:rPr>
        <w:t>El monto compensado entre bandas de la misma zona es multiplicado por el factor de ajuste horizontal correspondiente a cada zona (λ1, λ2 y λ3), para obtener el cargo por ajuste de sensibilidades al interior de una zona.</w:t>
      </w:r>
    </w:p>
    <w:p w14:paraId="268624F6" w14:textId="77777777" w:rsidR="00A83C87" w:rsidRPr="009C60D9" w:rsidRDefault="00A83C87" w:rsidP="00A83C87">
      <w:pPr>
        <w:pStyle w:val="Prrafodelista"/>
        <w:spacing w:after="0" w:line="240" w:lineRule="auto"/>
        <w:ind w:left="567" w:hanging="283"/>
        <w:rPr>
          <w:rFonts w:ascii="Verdana" w:eastAsia="Times New Roman" w:hAnsi="Verdana" w:cs="Arial"/>
          <w:sz w:val="20"/>
          <w:szCs w:val="20"/>
          <w:lang w:val="es-ES" w:eastAsia="es-ES"/>
        </w:rPr>
      </w:pPr>
    </w:p>
    <w:p w14:paraId="0344B52E" w14:textId="6A6DB0BB"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67</w:t>
      </w:r>
      <w:r w:rsidRPr="000E0B7B">
        <w:rPr>
          <w:rFonts w:ascii="Verdana" w:hAnsi="Verdana"/>
          <w:sz w:val="20"/>
          <w:szCs w:val="20"/>
        </w:rPr>
        <w:t>.</w:t>
      </w:r>
    </w:p>
    <w:p w14:paraId="7DE767F2" w14:textId="77777777" w:rsidR="00A83C87" w:rsidRPr="00665147" w:rsidRDefault="00A83C87" w:rsidP="00A83C87">
      <w:pPr>
        <w:spacing w:after="0" w:line="240" w:lineRule="auto"/>
        <w:jc w:val="both"/>
        <w:rPr>
          <w:rFonts w:ascii="Verdana" w:eastAsia="Times New Roman" w:hAnsi="Verdana" w:cs="Arial"/>
          <w:sz w:val="20"/>
          <w:szCs w:val="20"/>
          <w:lang w:val="es-ES" w:eastAsia="es-ES"/>
        </w:rPr>
      </w:pPr>
      <w:r w:rsidRPr="00665147">
        <w:rPr>
          <w:rFonts w:ascii="Verdana" w:eastAsia="Times New Roman" w:hAnsi="Verdana" w:cs="Arial"/>
          <w:sz w:val="20"/>
          <w:szCs w:val="20"/>
          <w:lang w:val="es-ES" w:eastAsia="es-ES"/>
        </w:rPr>
        <w:t>El cargo por ajuste de sensibilidades entre las zonas 1 y 2 se calcula como el producto entre el monto compensado (equivalente al menor valor absoluto de las sensibilidades netas) y el factor de ajuste horizontal λ12.</w:t>
      </w:r>
    </w:p>
    <w:p w14:paraId="318B9EA3" w14:textId="77777777" w:rsidR="00A83C87" w:rsidRPr="009C60D9" w:rsidRDefault="00A83C87" w:rsidP="00A83C87">
      <w:pPr>
        <w:pStyle w:val="Prrafodelista"/>
        <w:spacing w:after="0" w:line="240" w:lineRule="auto"/>
        <w:ind w:left="567" w:hanging="283"/>
        <w:rPr>
          <w:rFonts w:ascii="Verdana" w:eastAsia="Times New Roman" w:hAnsi="Verdana" w:cs="Arial"/>
          <w:sz w:val="20"/>
          <w:szCs w:val="20"/>
          <w:lang w:val="es-ES" w:eastAsia="es-ES"/>
        </w:rPr>
      </w:pPr>
    </w:p>
    <w:p w14:paraId="54519706" w14:textId="0EE7BA7D"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68</w:t>
      </w:r>
      <w:r w:rsidRPr="000E0B7B">
        <w:rPr>
          <w:rFonts w:ascii="Verdana" w:hAnsi="Verdana"/>
          <w:sz w:val="20"/>
          <w:szCs w:val="20"/>
        </w:rPr>
        <w:t>.</w:t>
      </w:r>
    </w:p>
    <w:p w14:paraId="591BA9C7" w14:textId="77777777" w:rsidR="00A83C87" w:rsidRPr="005E707D" w:rsidRDefault="00A83C87" w:rsidP="00A83C87">
      <w:pPr>
        <w:spacing w:after="0" w:line="240" w:lineRule="auto"/>
        <w:jc w:val="both"/>
        <w:rPr>
          <w:rFonts w:ascii="Verdana" w:eastAsia="Times New Roman" w:hAnsi="Verdana" w:cs="Arial"/>
          <w:sz w:val="20"/>
          <w:szCs w:val="20"/>
          <w:lang w:val="es-ES" w:eastAsia="es-ES"/>
        </w:rPr>
      </w:pPr>
      <w:r w:rsidRPr="005E707D">
        <w:rPr>
          <w:rFonts w:ascii="Verdana" w:eastAsia="Times New Roman" w:hAnsi="Verdana" w:cs="Arial"/>
          <w:sz w:val="20"/>
          <w:szCs w:val="20"/>
          <w:lang w:val="es-ES" w:eastAsia="es-ES"/>
        </w:rPr>
        <w:t>El cargo por ajuste de sensibilidades entre las zonas 2 y 3 se calcula como el producto entre el monto compensado y el factor de ajuste horizontal λ23.</w:t>
      </w:r>
    </w:p>
    <w:p w14:paraId="154D2704" w14:textId="77777777" w:rsidR="00A83C87" w:rsidRPr="009C60D9" w:rsidRDefault="00A83C87" w:rsidP="00A83C87">
      <w:pPr>
        <w:pStyle w:val="Prrafodelista"/>
        <w:spacing w:after="0" w:line="240" w:lineRule="auto"/>
        <w:ind w:left="567" w:hanging="283"/>
        <w:rPr>
          <w:rFonts w:ascii="Verdana" w:eastAsia="Times New Roman" w:hAnsi="Verdana" w:cs="Arial"/>
          <w:sz w:val="20"/>
          <w:szCs w:val="20"/>
          <w:lang w:val="es-ES" w:eastAsia="es-ES"/>
        </w:rPr>
      </w:pPr>
    </w:p>
    <w:p w14:paraId="4BDE7143" w14:textId="1FAD8F7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69</w:t>
      </w:r>
      <w:r w:rsidRPr="000E0B7B">
        <w:rPr>
          <w:rFonts w:ascii="Verdana" w:hAnsi="Verdana"/>
          <w:sz w:val="20"/>
          <w:szCs w:val="20"/>
        </w:rPr>
        <w:t>.</w:t>
      </w:r>
    </w:p>
    <w:p w14:paraId="2FABE2A5" w14:textId="6CFB7971" w:rsidR="00A83C87" w:rsidRPr="005411EB" w:rsidRDefault="00A83C87" w:rsidP="00A83C87">
      <w:pPr>
        <w:spacing w:after="0" w:line="240" w:lineRule="auto"/>
        <w:jc w:val="both"/>
        <w:rPr>
          <w:rFonts w:ascii="Verdana" w:eastAsia="Times New Roman" w:hAnsi="Verdana" w:cs="Arial"/>
          <w:sz w:val="20"/>
          <w:szCs w:val="20"/>
          <w:lang w:val="es-ES" w:eastAsia="es-ES"/>
        </w:rPr>
      </w:pPr>
      <w:r w:rsidRPr="00391B35">
        <w:rPr>
          <w:rFonts w:ascii="Verdana" w:eastAsia="Times New Roman" w:hAnsi="Verdana" w:cs="Arial"/>
          <w:sz w:val="20"/>
          <w:szCs w:val="20"/>
          <w:lang w:val="es-ES" w:eastAsia="es-ES"/>
        </w:rPr>
        <w:t xml:space="preserve">El cargo por ajuste descrito en el </w:t>
      </w:r>
      <w:r w:rsidR="0045571F" w:rsidRPr="00391B35">
        <w:rPr>
          <w:rFonts w:ascii="Verdana" w:eastAsia="Times New Roman" w:hAnsi="Verdana" w:cs="Arial"/>
          <w:sz w:val="20"/>
          <w:szCs w:val="20"/>
          <w:lang w:val="es-ES" w:eastAsia="es-ES"/>
        </w:rPr>
        <w:t>párrafo 1.1.A8.68.</w:t>
      </w:r>
      <w:r w:rsidRPr="00391B35">
        <w:rPr>
          <w:rFonts w:ascii="Verdana" w:eastAsia="Times New Roman" w:hAnsi="Verdana" w:cs="Arial"/>
          <w:sz w:val="20"/>
          <w:szCs w:val="20"/>
          <w:lang w:val="es-ES" w:eastAsia="es-ES"/>
        </w:rPr>
        <w:t xml:space="preserve"> también debe ser utilizado cuando, habiendo realizado el procedimiento descrito en el </w:t>
      </w:r>
      <w:r w:rsidR="00391B35" w:rsidRPr="00391B35">
        <w:rPr>
          <w:rFonts w:ascii="Verdana" w:eastAsia="Times New Roman" w:hAnsi="Verdana" w:cs="Arial"/>
          <w:sz w:val="20"/>
          <w:szCs w:val="20"/>
          <w:lang w:val="es-ES" w:eastAsia="es-ES"/>
        </w:rPr>
        <w:t>párrafo 1.1.A8.67.</w:t>
      </w:r>
      <w:r w:rsidRPr="00391B35">
        <w:rPr>
          <w:rFonts w:ascii="Verdana" w:eastAsia="Times New Roman" w:hAnsi="Verdana" w:cs="Arial"/>
          <w:sz w:val="20"/>
          <w:szCs w:val="20"/>
          <w:lang w:val="es-ES" w:eastAsia="es-ES"/>
        </w:rPr>
        <w:t>, la sensibilidad neta no compensada corresponda a la zona 2 (esto ocurre cuando el valor absoluto de la sensibilidad neta de esta</w:t>
      </w:r>
      <w:r w:rsidRPr="005411EB">
        <w:rPr>
          <w:rFonts w:ascii="Verdana" w:eastAsia="Times New Roman" w:hAnsi="Verdana" w:cs="Arial"/>
          <w:sz w:val="20"/>
          <w:szCs w:val="20"/>
          <w:lang w:val="es-ES" w:eastAsia="es-ES"/>
        </w:rPr>
        <w:t xml:space="preserve"> zona es superior al valor absoluto de la sensibilidad neta de la zona 1) y tenga signo contrario a la sensibilidad neta de la zona 3.</w:t>
      </w:r>
    </w:p>
    <w:p w14:paraId="70229C78" w14:textId="77777777" w:rsidR="00A83C87" w:rsidRPr="009C60D9" w:rsidRDefault="00A83C87" w:rsidP="00A83C87">
      <w:pPr>
        <w:pStyle w:val="Prrafodelista"/>
        <w:spacing w:after="0" w:line="240" w:lineRule="auto"/>
        <w:ind w:left="567" w:hanging="283"/>
        <w:rPr>
          <w:rFonts w:ascii="Verdana" w:eastAsia="Times New Roman" w:hAnsi="Verdana" w:cs="Arial"/>
          <w:sz w:val="20"/>
          <w:szCs w:val="20"/>
          <w:lang w:val="es-ES" w:eastAsia="es-ES"/>
        </w:rPr>
      </w:pPr>
    </w:p>
    <w:p w14:paraId="7AD9A133" w14:textId="1720C21E"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7</w:t>
      </w:r>
      <w:r w:rsidR="00C2129A">
        <w:rPr>
          <w:rFonts w:ascii="Verdana" w:hAnsi="Verdana"/>
          <w:sz w:val="20"/>
          <w:szCs w:val="20"/>
        </w:rPr>
        <w:t>0</w:t>
      </w:r>
      <w:r w:rsidRPr="000E0B7B">
        <w:rPr>
          <w:rFonts w:ascii="Verdana" w:hAnsi="Verdana"/>
          <w:sz w:val="20"/>
          <w:szCs w:val="20"/>
        </w:rPr>
        <w:t>.</w:t>
      </w:r>
    </w:p>
    <w:p w14:paraId="0A0A1A3E" w14:textId="6D2BA906" w:rsidR="00A83C87" w:rsidRPr="003B7EF6" w:rsidRDefault="00A83C87" w:rsidP="00A83C87">
      <w:pPr>
        <w:spacing w:after="0" w:line="240" w:lineRule="auto"/>
        <w:jc w:val="both"/>
        <w:rPr>
          <w:rFonts w:ascii="Verdana" w:eastAsia="Times New Roman" w:hAnsi="Verdana" w:cs="Arial"/>
          <w:sz w:val="20"/>
          <w:szCs w:val="20"/>
          <w:lang w:val="es-ES" w:eastAsia="es-ES"/>
        </w:rPr>
      </w:pPr>
      <w:r w:rsidRPr="003B7EF6">
        <w:rPr>
          <w:rFonts w:ascii="Verdana" w:eastAsia="Times New Roman" w:hAnsi="Verdana" w:cs="Arial"/>
          <w:sz w:val="20"/>
          <w:szCs w:val="20"/>
          <w:lang w:val="es-ES" w:eastAsia="es-ES"/>
        </w:rPr>
        <w:t xml:space="preserve">En los casos en que, habiendo </w:t>
      </w:r>
      <w:r w:rsidRPr="00391B35">
        <w:rPr>
          <w:rFonts w:ascii="Verdana" w:eastAsia="Times New Roman" w:hAnsi="Verdana" w:cs="Arial"/>
          <w:sz w:val="20"/>
          <w:szCs w:val="20"/>
          <w:lang w:val="es-ES" w:eastAsia="es-ES"/>
        </w:rPr>
        <w:t xml:space="preserve">realizado el ajuste descrito </w:t>
      </w:r>
      <w:r w:rsidR="00391B35" w:rsidRPr="00391B35">
        <w:rPr>
          <w:rFonts w:ascii="Verdana" w:eastAsia="Times New Roman" w:hAnsi="Verdana" w:cs="Arial"/>
          <w:sz w:val="20"/>
          <w:szCs w:val="20"/>
          <w:lang w:val="es-ES" w:eastAsia="es-ES"/>
        </w:rPr>
        <w:t>en el párrafo 1.1.A8.67.</w:t>
      </w:r>
      <w:r w:rsidRPr="00391B35">
        <w:rPr>
          <w:rFonts w:ascii="Verdana" w:eastAsia="Times New Roman" w:hAnsi="Verdana" w:cs="Arial"/>
          <w:sz w:val="20"/>
          <w:szCs w:val="20"/>
          <w:lang w:val="es-ES" w:eastAsia="es-ES"/>
        </w:rPr>
        <w:t xml:space="preserve"> la sensibilidad neta no compensada corresponda a la zona 1 (esto ocurre cuando el valor absoluto de la sensibilidad neta</w:t>
      </w:r>
      <w:r w:rsidRPr="003B7EF6">
        <w:rPr>
          <w:rFonts w:ascii="Verdana" w:eastAsia="Times New Roman" w:hAnsi="Verdana" w:cs="Arial"/>
          <w:sz w:val="20"/>
          <w:szCs w:val="20"/>
          <w:lang w:val="es-ES" w:eastAsia="es-ES"/>
        </w:rPr>
        <w:t xml:space="preserve"> de esta zona es superior al valor absoluto de la sensibilidad neta de la zona 2) y tenga signo contrario a la sensibilidad neta de la zona 3, estas se podrán compensar. El cargo por el ajuste de dichas sensibilidades se calcula como el producto entre el monto compensado y el factor de ajuste horizontal λ13.</w:t>
      </w:r>
    </w:p>
    <w:p w14:paraId="409D619D" w14:textId="77777777" w:rsidR="00A83C87" w:rsidRPr="009C60D9" w:rsidRDefault="00A83C87" w:rsidP="00A83C87">
      <w:pPr>
        <w:pStyle w:val="Prrafodelista"/>
        <w:spacing w:after="0" w:line="240" w:lineRule="auto"/>
        <w:ind w:left="567" w:hanging="283"/>
        <w:rPr>
          <w:rFonts w:ascii="Verdana" w:eastAsia="Times New Roman" w:hAnsi="Verdana" w:cs="Arial"/>
          <w:sz w:val="20"/>
          <w:szCs w:val="20"/>
          <w:lang w:val="es-ES" w:eastAsia="es-ES"/>
        </w:rPr>
      </w:pPr>
    </w:p>
    <w:p w14:paraId="70B69A80" w14:textId="173F47F1"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7</w:t>
      </w:r>
      <w:r w:rsidR="00C2129A">
        <w:rPr>
          <w:rFonts w:ascii="Verdana" w:hAnsi="Verdana"/>
          <w:sz w:val="20"/>
          <w:szCs w:val="20"/>
        </w:rPr>
        <w:t>1</w:t>
      </w:r>
      <w:r w:rsidRPr="000E0B7B">
        <w:rPr>
          <w:rFonts w:ascii="Verdana" w:hAnsi="Verdana"/>
          <w:sz w:val="20"/>
          <w:szCs w:val="20"/>
        </w:rPr>
        <w:t>.</w:t>
      </w:r>
    </w:p>
    <w:p w14:paraId="6F8444BE" w14:textId="0D8B0C5C" w:rsidR="00A83C87" w:rsidRDefault="00A83C87" w:rsidP="00166A67">
      <w:pPr>
        <w:spacing w:after="0" w:line="240" w:lineRule="auto"/>
        <w:jc w:val="both"/>
        <w:rPr>
          <w:rFonts w:ascii="Verdana" w:eastAsia="Times New Roman" w:hAnsi="Verdana" w:cs="Arial"/>
          <w:sz w:val="20"/>
          <w:szCs w:val="20"/>
          <w:lang w:val="es-ES" w:eastAsia="es-ES"/>
        </w:rPr>
      </w:pPr>
      <w:r w:rsidRPr="00A92DFC">
        <w:rPr>
          <w:rFonts w:ascii="Verdana" w:eastAsia="Times New Roman" w:hAnsi="Verdana" w:cs="Arial"/>
          <w:sz w:val="20"/>
          <w:szCs w:val="20"/>
          <w:lang w:val="es-ES" w:eastAsia="es-ES"/>
        </w:rPr>
        <w:t xml:space="preserve">El cargo por ajuste </w:t>
      </w:r>
      <w:r w:rsidRPr="00534A44">
        <w:rPr>
          <w:rFonts w:ascii="Verdana" w:eastAsia="Times New Roman" w:hAnsi="Verdana" w:cs="Arial"/>
          <w:sz w:val="20"/>
          <w:szCs w:val="20"/>
          <w:lang w:val="es-ES" w:eastAsia="es-ES"/>
        </w:rPr>
        <w:t xml:space="preserve">descrito en el </w:t>
      </w:r>
      <w:r w:rsidR="00E05CA4" w:rsidRPr="00534A44">
        <w:rPr>
          <w:rFonts w:ascii="Verdana" w:eastAsia="Times New Roman" w:hAnsi="Verdana" w:cs="Arial"/>
          <w:sz w:val="20"/>
          <w:szCs w:val="20"/>
          <w:lang w:val="es-ES" w:eastAsia="es-ES"/>
        </w:rPr>
        <w:t xml:space="preserve">párrafo 1.1.A8.70. </w:t>
      </w:r>
      <w:r w:rsidRPr="00534A44">
        <w:rPr>
          <w:rFonts w:ascii="Verdana" w:eastAsia="Times New Roman" w:hAnsi="Verdana" w:cs="Arial"/>
          <w:sz w:val="20"/>
          <w:szCs w:val="20"/>
          <w:lang w:val="es-ES" w:eastAsia="es-ES"/>
        </w:rPr>
        <w:t xml:space="preserve">también debe aplicarse en los casos en que, habiendo realizado el procedimiento descrito </w:t>
      </w:r>
      <w:r w:rsidR="00534A44" w:rsidRPr="00534A44">
        <w:rPr>
          <w:rFonts w:ascii="Verdana" w:eastAsia="Times New Roman" w:hAnsi="Verdana" w:cs="Arial"/>
          <w:sz w:val="20"/>
          <w:szCs w:val="20"/>
          <w:lang w:val="es-ES" w:eastAsia="es-ES"/>
        </w:rPr>
        <w:t>en el párrafo 1.1.A8.68.</w:t>
      </w:r>
      <w:r w:rsidRPr="00534A44">
        <w:rPr>
          <w:rFonts w:ascii="Verdana" w:eastAsia="Times New Roman" w:hAnsi="Verdana" w:cs="Arial"/>
          <w:sz w:val="20"/>
          <w:szCs w:val="20"/>
          <w:lang w:val="es-ES" w:eastAsia="es-ES"/>
        </w:rPr>
        <w:t>, la sensibilidad neta no compensada corresponda a la zona 3 (esto ocurre cuando el valor absoluto de la sensibilidad neta de</w:t>
      </w:r>
      <w:r w:rsidRPr="00A92DFC">
        <w:rPr>
          <w:rFonts w:ascii="Verdana" w:eastAsia="Times New Roman" w:hAnsi="Verdana" w:cs="Arial"/>
          <w:sz w:val="20"/>
          <w:szCs w:val="20"/>
          <w:lang w:val="es-ES" w:eastAsia="es-ES"/>
        </w:rPr>
        <w:t xml:space="preserve"> esta zona es superior al valor absoluto de la sensibilidad neta de la zona 2) y tenga signo contrario a la sensibilidad neta de la zona 1.</w:t>
      </w:r>
    </w:p>
    <w:p w14:paraId="6FF3E9C8" w14:textId="77777777" w:rsidR="00594587" w:rsidRPr="009C60D9" w:rsidRDefault="00594587" w:rsidP="00166A67">
      <w:pPr>
        <w:spacing w:after="0" w:line="240" w:lineRule="auto"/>
        <w:jc w:val="both"/>
        <w:rPr>
          <w:rFonts w:ascii="Verdana" w:eastAsia="Times New Roman" w:hAnsi="Verdana" w:cs="Arial"/>
          <w:sz w:val="20"/>
          <w:szCs w:val="20"/>
          <w:lang w:val="es-ES" w:eastAsia="es-ES"/>
        </w:rPr>
      </w:pPr>
    </w:p>
    <w:p w14:paraId="404E17B9" w14:textId="21CCDA3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72</w:t>
      </w:r>
      <w:r w:rsidRPr="000E0B7B">
        <w:rPr>
          <w:rFonts w:ascii="Verdana" w:hAnsi="Verdana"/>
          <w:sz w:val="20"/>
          <w:szCs w:val="20"/>
        </w:rPr>
        <w:t>.</w:t>
      </w:r>
    </w:p>
    <w:p w14:paraId="0EF0E0DD" w14:textId="05A849E0" w:rsidR="00A83C87" w:rsidRPr="00D852B8" w:rsidRDefault="00A83C87" w:rsidP="00A83C87">
      <w:pPr>
        <w:spacing w:after="0" w:line="240" w:lineRule="auto"/>
        <w:jc w:val="both"/>
        <w:rPr>
          <w:rFonts w:ascii="Verdana" w:eastAsia="Times New Roman" w:hAnsi="Verdana" w:cs="Arial"/>
          <w:sz w:val="20"/>
          <w:szCs w:val="20"/>
          <w:lang w:val="es-ES" w:eastAsia="es-ES"/>
        </w:rPr>
      </w:pPr>
      <w:r w:rsidRPr="00D852B8">
        <w:rPr>
          <w:rFonts w:ascii="Verdana" w:eastAsia="Times New Roman" w:hAnsi="Verdana" w:cs="Arial"/>
          <w:sz w:val="20"/>
          <w:szCs w:val="20"/>
          <w:lang w:val="es-ES" w:eastAsia="es-ES"/>
        </w:rPr>
        <w:t xml:space="preserve">Luego de realizar, según corresponda, </w:t>
      </w:r>
      <w:r w:rsidRPr="0027470A">
        <w:rPr>
          <w:rFonts w:ascii="Verdana" w:eastAsia="Times New Roman" w:hAnsi="Verdana" w:cs="Arial"/>
          <w:sz w:val="20"/>
          <w:szCs w:val="20"/>
          <w:lang w:val="es-ES" w:eastAsia="es-ES"/>
        </w:rPr>
        <w:t>los ajustes descritos en los párrafos anteriores se obtiene la sensibilidad neta del portafoli</w:t>
      </w:r>
      <w:r w:rsidRPr="00D852B8">
        <w:rPr>
          <w:rFonts w:ascii="Verdana" w:eastAsia="Times New Roman" w:hAnsi="Verdana" w:cs="Arial"/>
          <w:sz w:val="20"/>
          <w:szCs w:val="20"/>
          <w:lang w:val="es-ES" w:eastAsia="es-ES"/>
        </w:rPr>
        <w:t>o que agrupa las sensibilidades que no se pudieron compensar.</w:t>
      </w:r>
    </w:p>
    <w:p w14:paraId="49EF2ACB"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A481E25" w14:textId="187DE568" w:rsidR="00A83C87" w:rsidRPr="004D1695" w:rsidRDefault="00A83C87" w:rsidP="004D1695">
      <w:pPr>
        <w:pStyle w:val="Prrafodelista"/>
        <w:numPr>
          <w:ilvl w:val="0"/>
          <w:numId w:val="28"/>
        </w:numPr>
        <w:ind w:left="567" w:hanging="283"/>
        <w:jc w:val="both"/>
        <w:rPr>
          <w:rFonts w:ascii="Verdana" w:eastAsia="Times New Roman" w:hAnsi="Verdana" w:cs="Arial"/>
          <w:sz w:val="20"/>
          <w:szCs w:val="20"/>
          <w:lang w:val="es-ES" w:eastAsia="es-ES"/>
        </w:rPr>
      </w:pPr>
      <w:r w:rsidRPr="004D1695">
        <w:rPr>
          <w:rFonts w:ascii="Verdana" w:hAnsi="Verdana"/>
          <w:b/>
          <w:bCs/>
          <w:sz w:val="20"/>
          <w:szCs w:val="20"/>
        </w:rPr>
        <w:t>Cálculo del riesgo de tasa de interés para cada escalera de bandas</w:t>
      </w:r>
    </w:p>
    <w:p w14:paraId="1BB9698E" w14:textId="3E87D2A5"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73</w:t>
      </w:r>
      <w:r w:rsidRPr="000E0B7B">
        <w:rPr>
          <w:rFonts w:ascii="Verdana" w:hAnsi="Verdana"/>
          <w:sz w:val="20"/>
          <w:szCs w:val="20"/>
        </w:rPr>
        <w:t>.</w:t>
      </w:r>
    </w:p>
    <w:p w14:paraId="3313269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Teniendo en cuenta los procedimientos descritos, el riesgo de tasa de interés para cada una de las escaleras de bandas corresponde a la sumatoria de:</w:t>
      </w:r>
    </w:p>
    <w:p w14:paraId="00BBEC3D" w14:textId="77777777" w:rsidR="00A83C87" w:rsidRPr="009C60D9" w:rsidRDefault="00A83C87" w:rsidP="00A83C87">
      <w:pPr>
        <w:spacing w:after="0" w:line="240" w:lineRule="auto"/>
        <w:ind w:left="284" w:hanging="284"/>
        <w:jc w:val="both"/>
        <w:rPr>
          <w:rFonts w:ascii="Verdana" w:eastAsia="Times New Roman" w:hAnsi="Verdana" w:cs="Arial"/>
          <w:sz w:val="20"/>
          <w:szCs w:val="20"/>
          <w:lang w:val="es-ES" w:eastAsia="es-ES"/>
        </w:rPr>
      </w:pPr>
    </w:p>
    <w:p w14:paraId="446285ED" w14:textId="7C513AB1" w:rsidR="00A83C87" w:rsidRPr="009C60D9" w:rsidRDefault="00A83C87" w:rsidP="000017F7">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El cargo por ajuste vertical de cada una de las bandas </w:t>
      </w:r>
      <w:r w:rsidRPr="000B43F9">
        <w:rPr>
          <w:rFonts w:ascii="Verdana" w:eastAsia="Times New Roman" w:hAnsi="Verdana" w:cs="Arial"/>
          <w:sz w:val="20"/>
          <w:szCs w:val="20"/>
          <w:lang w:val="es-ES" w:eastAsia="es-ES"/>
        </w:rPr>
        <w:t xml:space="preserve">descrito en el </w:t>
      </w:r>
      <w:r w:rsidR="00AE6C13" w:rsidRPr="000B43F9">
        <w:rPr>
          <w:rFonts w:ascii="Verdana" w:eastAsia="Times New Roman" w:hAnsi="Verdana" w:cs="Arial"/>
          <w:sz w:val="20"/>
          <w:szCs w:val="20"/>
          <w:lang w:val="es-ES" w:eastAsia="es-ES"/>
        </w:rPr>
        <w:t>párrafo 1.1.A8</w:t>
      </w:r>
      <w:r w:rsidR="000B43F9" w:rsidRPr="000B43F9">
        <w:rPr>
          <w:rFonts w:ascii="Verdana" w:eastAsia="Times New Roman" w:hAnsi="Verdana" w:cs="Arial"/>
          <w:sz w:val="20"/>
          <w:szCs w:val="20"/>
          <w:lang w:val="es-ES" w:eastAsia="es-ES"/>
        </w:rPr>
        <w:t>.65</w:t>
      </w:r>
      <w:r w:rsidRPr="000B43F9">
        <w:rPr>
          <w:rFonts w:ascii="Verdana" w:eastAsia="Times New Roman" w:hAnsi="Verdana" w:cs="Arial"/>
          <w:sz w:val="20"/>
          <w:szCs w:val="20"/>
          <w:lang w:val="es-ES" w:eastAsia="es-ES"/>
        </w:rPr>
        <w:t>.</w:t>
      </w:r>
    </w:p>
    <w:p w14:paraId="4495F3B2" w14:textId="77777777" w:rsidR="004D1695" w:rsidRDefault="004D1695" w:rsidP="004D1695">
      <w:pPr>
        <w:pStyle w:val="Prrafodelista"/>
        <w:spacing w:after="0" w:line="240" w:lineRule="auto"/>
        <w:ind w:left="567"/>
        <w:jc w:val="both"/>
        <w:rPr>
          <w:rFonts w:ascii="Verdana" w:eastAsia="Times New Roman" w:hAnsi="Verdana" w:cs="Arial"/>
          <w:sz w:val="20"/>
          <w:szCs w:val="20"/>
          <w:lang w:val="es-ES" w:eastAsia="es-ES"/>
        </w:rPr>
      </w:pPr>
    </w:p>
    <w:p w14:paraId="08520C94" w14:textId="371A9C37" w:rsidR="004D1695" w:rsidRDefault="00A83C87" w:rsidP="004D1695">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El cargo por ajuste al interior de las zonas </w:t>
      </w:r>
      <w:r w:rsidR="000B43F9" w:rsidRPr="000B43F9">
        <w:rPr>
          <w:rFonts w:ascii="Verdana" w:eastAsia="Times New Roman" w:hAnsi="Verdana" w:cs="Arial"/>
          <w:sz w:val="20"/>
          <w:szCs w:val="20"/>
          <w:lang w:val="es-ES" w:eastAsia="es-ES"/>
        </w:rPr>
        <w:t>descrito en el párrafo 1.1.A8.6</w:t>
      </w:r>
      <w:r w:rsidR="000B43F9">
        <w:rPr>
          <w:rFonts w:ascii="Verdana" w:eastAsia="Times New Roman" w:hAnsi="Verdana" w:cs="Arial"/>
          <w:sz w:val="20"/>
          <w:szCs w:val="20"/>
          <w:lang w:val="es-ES" w:eastAsia="es-ES"/>
        </w:rPr>
        <w:t>6</w:t>
      </w:r>
      <w:r w:rsidR="000B43F9" w:rsidRPr="000B43F9">
        <w:rPr>
          <w:rFonts w:ascii="Verdana" w:eastAsia="Times New Roman" w:hAnsi="Verdana" w:cs="Arial"/>
          <w:sz w:val="20"/>
          <w:szCs w:val="20"/>
          <w:lang w:val="es-ES" w:eastAsia="es-ES"/>
        </w:rPr>
        <w:t>.</w:t>
      </w:r>
    </w:p>
    <w:p w14:paraId="4EB93D77" w14:textId="77777777" w:rsidR="004D1695" w:rsidRPr="004D1695" w:rsidRDefault="004D1695" w:rsidP="004D1695">
      <w:pPr>
        <w:pStyle w:val="Prrafodelista"/>
        <w:rPr>
          <w:rFonts w:ascii="Verdana" w:eastAsia="Times New Roman" w:hAnsi="Verdana" w:cs="Arial"/>
          <w:sz w:val="20"/>
          <w:szCs w:val="20"/>
          <w:lang w:val="es-ES" w:eastAsia="es-ES"/>
        </w:rPr>
      </w:pPr>
    </w:p>
    <w:p w14:paraId="29BF2861" w14:textId="01488CCA" w:rsidR="004D1695" w:rsidRDefault="00A83C87" w:rsidP="004D1695">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0B43F9">
        <w:rPr>
          <w:rFonts w:ascii="Verdana" w:eastAsia="Times New Roman" w:hAnsi="Verdana" w:cs="Arial"/>
          <w:sz w:val="20"/>
          <w:szCs w:val="20"/>
          <w:lang w:val="es-ES" w:eastAsia="es-ES"/>
        </w:rPr>
        <w:t xml:space="preserve">El cargo por ajuste entre las zonas 1 y 2 </w:t>
      </w:r>
      <w:r w:rsidR="000B43F9" w:rsidRPr="000B43F9">
        <w:rPr>
          <w:rFonts w:ascii="Verdana" w:eastAsia="Times New Roman" w:hAnsi="Verdana" w:cs="Arial"/>
          <w:sz w:val="20"/>
          <w:szCs w:val="20"/>
          <w:lang w:val="es-ES" w:eastAsia="es-ES"/>
        </w:rPr>
        <w:t>descrito en el párrafo 1.1.A8.6</w:t>
      </w:r>
      <w:r w:rsidR="000B43F9">
        <w:rPr>
          <w:rFonts w:ascii="Verdana" w:eastAsia="Times New Roman" w:hAnsi="Verdana" w:cs="Arial"/>
          <w:sz w:val="20"/>
          <w:szCs w:val="20"/>
          <w:lang w:val="es-ES" w:eastAsia="es-ES"/>
        </w:rPr>
        <w:t>7</w:t>
      </w:r>
      <w:r w:rsidR="000B43F9" w:rsidRPr="000B43F9">
        <w:rPr>
          <w:rFonts w:ascii="Verdana" w:eastAsia="Times New Roman" w:hAnsi="Verdana" w:cs="Arial"/>
          <w:sz w:val="20"/>
          <w:szCs w:val="20"/>
          <w:lang w:val="es-ES" w:eastAsia="es-ES"/>
        </w:rPr>
        <w:t>.</w:t>
      </w:r>
    </w:p>
    <w:p w14:paraId="7B307A51" w14:textId="77777777" w:rsidR="000B43F9" w:rsidRPr="000B43F9" w:rsidRDefault="000B43F9" w:rsidP="000B43F9">
      <w:pPr>
        <w:spacing w:after="0" w:line="240" w:lineRule="auto"/>
        <w:jc w:val="both"/>
        <w:rPr>
          <w:rFonts w:ascii="Verdana" w:eastAsia="Times New Roman" w:hAnsi="Verdana" w:cs="Arial"/>
          <w:sz w:val="20"/>
          <w:szCs w:val="20"/>
          <w:lang w:val="es-ES" w:eastAsia="es-ES"/>
        </w:rPr>
      </w:pPr>
    </w:p>
    <w:p w14:paraId="4EDE6632" w14:textId="0392D1A2" w:rsidR="004D1695" w:rsidRDefault="00A83C87" w:rsidP="004D1695">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4D1695">
        <w:rPr>
          <w:rFonts w:ascii="Verdana" w:eastAsia="Times New Roman" w:hAnsi="Verdana" w:cs="Arial"/>
          <w:sz w:val="20"/>
          <w:szCs w:val="20"/>
          <w:lang w:val="es-ES" w:eastAsia="es-ES"/>
        </w:rPr>
        <w:t xml:space="preserve">El cargo por ajuste entre las zonas 2 y 3 </w:t>
      </w:r>
      <w:r w:rsidR="000B43F9" w:rsidRPr="000B43F9">
        <w:rPr>
          <w:rFonts w:ascii="Verdana" w:eastAsia="Times New Roman" w:hAnsi="Verdana" w:cs="Arial"/>
          <w:sz w:val="20"/>
          <w:szCs w:val="20"/>
          <w:lang w:val="es-ES" w:eastAsia="es-ES"/>
        </w:rPr>
        <w:t>descrito en l</w:t>
      </w:r>
      <w:r w:rsidR="000B43F9">
        <w:rPr>
          <w:rFonts w:ascii="Verdana" w:eastAsia="Times New Roman" w:hAnsi="Verdana" w:cs="Arial"/>
          <w:sz w:val="20"/>
          <w:szCs w:val="20"/>
          <w:lang w:val="es-ES" w:eastAsia="es-ES"/>
        </w:rPr>
        <w:t>os</w:t>
      </w:r>
      <w:r w:rsidR="000B43F9" w:rsidRPr="000B43F9">
        <w:rPr>
          <w:rFonts w:ascii="Verdana" w:eastAsia="Times New Roman" w:hAnsi="Verdana" w:cs="Arial"/>
          <w:sz w:val="20"/>
          <w:szCs w:val="20"/>
          <w:lang w:val="es-ES" w:eastAsia="es-ES"/>
        </w:rPr>
        <w:t xml:space="preserve"> párrafo</w:t>
      </w:r>
      <w:r w:rsidR="00775735">
        <w:rPr>
          <w:rFonts w:ascii="Verdana" w:eastAsia="Times New Roman" w:hAnsi="Verdana" w:cs="Arial"/>
          <w:sz w:val="20"/>
          <w:szCs w:val="20"/>
          <w:lang w:val="es-ES" w:eastAsia="es-ES"/>
        </w:rPr>
        <w:t>s</w:t>
      </w:r>
      <w:r w:rsidR="000B43F9" w:rsidRPr="000B43F9">
        <w:rPr>
          <w:rFonts w:ascii="Verdana" w:eastAsia="Times New Roman" w:hAnsi="Verdana" w:cs="Arial"/>
          <w:sz w:val="20"/>
          <w:szCs w:val="20"/>
          <w:lang w:val="es-ES" w:eastAsia="es-ES"/>
        </w:rPr>
        <w:t xml:space="preserve"> 1.1.A8.6</w:t>
      </w:r>
      <w:r w:rsidR="00775735">
        <w:rPr>
          <w:rFonts w:ascii="Verdana" w:eastAsia="Times New Roman" w:hAnsi="Verdana" w:cs="Arial"/>
          <w:sz w:val="20"/>
          <w:szCs w:val="20"/>
          <w:lang w:val="es-ES" w:eastAsia="es-ES"/>
        </w:rPr>
        <w:t>8</w:t>
      </w:r>
      <w:r w:rsidR="000B43F9" w:rsidRPr="000B43F9">
        <w:rPr>
          <w:rFonts w:ascii="Verdana" w:eastAsia="Times New Roman" w:hAnsi="Verdana" w:cs="Arial"/>
          <w:sz w:val="20"/>
          <w:szCs w:val="20"/>
          <w:lang w:val="es-ES" w:eastAsia="es-ES"/>
        </w:rPr>
        <w:t>.</w:t>
      </w:r>
      <w:r w:rsidR="00775735">
        <w:rPr>
          <w:rFonts w:ascii="Verdana" w:eastAsia="Times New Roman" w:hAnsi="Verdana" w:cs="Arial"/>
          <w:sz w:val="20"/>
          <w:szCs w:val="20"/>
          <w:lang w:val="es-ES" w:eastAsia="es-ES"/>
        </w:rPr>
        <w:t xml:space="preserve"> y 1.1.A8.69.</w:t>
      </w:r>
    </w:p>
    <w:p w14:paraId="45035897" w14:textId="77777777" w:rsidR="004D1695" w:rsidRPr="004D1695" w:rsidRDefault="004D1695" w:rsidP="004D1695">
      <w:pPr>
        <w:pStyle w:val="Prrafodelista"/>
        <w:rPr>
          <w:rFonts w:ascii="Verdana" w:eastAsia="Times New Roman" w:hAnsi="Verdana" w:cs="Arial"/>
          <w:sz w:val="20"/>
          <w:szCs w:val="20"/>
          <w:lang w:val="es-ES" w:eastAsia="es-ES"/>
        </w:rPr>
      </w:pPr>
    </w:p>
    <w:p w14:paraId="28C88EAE" w14:textId="3FA505D9" w:rsidR="004D1695" w:rsidRDefault="00A83C87" w:rsidP="004D1695">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4D1695">
        <w:rPr>
          <w:rFonts w:ascii="Verdana" w:eastAsia="Times New Roman" w:hAnsi="Verdana" w:cs="Arial"/>
          <w:sz w:val="20"/>
          <w:szCs w:val="20"/>
          <w:lang w:val="es-ES" w:eastAsia="es-ES"/>
        </w:rPr>
        <w:t xml:space="preserve">El cargo por ajuste entre las zonas 1 y 3 </w:t>
      </w:r>
      <w:r w:rsidR="005E2545" w:rsidRPr="000B43F9">
        <w:rPr>
          <w:rFonts w:ascii="Verdana" w:eastAsia="Times New Roman" w:hAnsi="Verdana" w:cs="Arial"/>
          <w:sz w:val="20"/>
          <w:szCs w:val="20"/>
          <w:lang w:val="es-ES" w:eastAsia="es-ES"/>
        </w:rPr>
        <w:t>descrito en l</w:t>
      </w:r>
      <w:r w:rsidR="005E2545">
        <w:rPr>
          <w:rFonts w:ascii="Verdana" w:eastAsia="Times New Roman" w:hAnsi="Verdana" w:cs="Arial"/>
          <w:sz w:val="20"/>
          <w:szCs w:val="20"/>
          <w:lang w:val="es-ES" w:eastAsia="es-ES"/>
        </w:rPr>
        <w:t>os</w:t>
      </w:r>
      <w:r w:rsidR="005E2545" w:rsidRPr="000B43F9">
        <w:rPr>
          <w:rFonts w:ascii="Verdana" w:eastAsia="Times New Roman" w:hAnsi="Verdana" w:cs="Arial"/>
          <w:sz w:val="20"/>
          <w:szCs w:val="20"/>
          <w:lang w:val="es-ES" w:eastAsia="es-ES"/>
        </w:rPr>
        <w:t xml:space="preserve"> párrafo</w:t>
      </w:r>
      <w:r w:rsidR="005E2545">
        <w:rPr>
          <w:rFonts w:ascii="Verdana" w:eastAsia="Times New Roman" w:hAnsi="Verdana" w:cs="Arial"/>
          <w:sz w:val="20"/>
          <w:szCs w:val="20"/>
          <w:lang w:val="es-ES" w:eastAsia="es-ES"/>
        </w:rPr>
        <w:t>s</w:t>
      </w:r>
      <w:r w:rsidR="005E2545" w:rsidRPr="000B43F9">
        <w:rPr>
          <w:rFonts w:ascii="Verdana" w:eastAsia="Times New Roman" w:hAnsi="Verdana" w:cs="Arial"/>
          <w:sz w:val="20"/>
          <w:szCs w:val="20"/>
          <w:lang w:val="es-ES" w:eastAsia="es-ES"/>
        </w:rPr>
        <w:t xml:space="preserve"> 1.1.A8.</w:t>
      </w:r>
      <w:r w:rsidR="005E2545">
        <w:rPr>
          <w:rFonts w:ascii="Verdana" w:eastAsia="Times New Roman" w:hAnsi="Verdana" w:cs="Arial"/>
          <w:sz w:val="20"/>
          <w:szCs w:val="20"/>
          <w:lang w:val="es-ES" w:eastAsia="es-ES"/>
        </w:rPr>
        <w:t>70</w:t>
      </w:r>
      <w:r w:rsidR="005E2545" w:rsidRPr="000B43F9">
        <w:rPr>
          <w:rFonts w:ascii="Verdana" w:eastAsia="Times New Roman" w:hAnsi="Verdana" w:cs="Arial"/>
          <w:sz w:val="20"/>
          <w:szCs w:val="20"/>
          <w:lang w:val="es-ES" w:eastAsia="es-ES"/>
        </w:rPr>
        <w:t>.</w:t>
      </w:r>
      <w:r w:rsidR="005E2545">
        <w:rPr>
          <w:rFonts w:ascii="Verdana" w:eastAsia="Times New Roman" w:hAnsi="Verdana" w:cs="Arial"/>
          <w:sz w:val="20"/>
          <w:szCs w:val="20"/>
          <w:lang w:val="es-ES" w:eastAsia="es-ES"/>
        </w:rPr>
        <w:t xml:space="preserve"> y 1.1.A8.71.</w:t>
      </w:r>
    </w:p>
    <w:p w14:paraId="31167ACF" w14:textId="77777777" w:rsidR="004D1695" w:rsidRPr="004D1695" w:rsidRDefault="004D1695" w:rsidP="004D1695">
      <w:pPr>
        <w:pStyle w:val="Prrafodelista"/>
        <w:rPr>
          <w:rFonts w:ascii="Verdana" w:eastAsia="Times New Roman" w:hAnsi="Verdana" w:cs="Arial"/>
          <w:sz w:val="20"/>
          <w:szCs w:val="20"/>
          <w:lang w:val="es-ES" w:eastAsia="es-ES"/>
        </w:rPr>
      </w:pPr>
    </w:p>
    <w:p w14:paraId="0456720E" w14:textId="402B7BA6" w:rsidR="00A83C87" w:rsidRPr="00C12D07" w:rsidRDefault="00A83C87" w:rsidP="00C12D07">
      <w:pPr>
        <w:pStyle w:val="Prrafodelista"/>
        <w:numPr>
          <w:ilvl w:val="0"/>
          <w:numId w:val="16"/>
        </w:numPr>
        <w:spacing w:after="0" w:line="240" w:lineRule="auto"/>
        <w:ind w:left="567" w:hanging="567"/>
        <w:jc w:val="both"/>
        <w:rPr>
          <w:rFonts w:ascii="Verdana" w:eastAsia="Times New Roman" w:hAnsi="Verdana" w:cs="Arial"/>
          <w:sz w:val="20"/>
          <w:szCs w:val="20"/>
          <w:lang w:val="es-ES" w:eastAsia="es-ES"/>
        </w:rPr>
      </w:pPr>
      <w:r w:rsidRPr="004D1695">
        <w:rPr>
          <w:rFonts w:ascii="Verdana" w:eastAsia="Times New Roman" w:hAnsi="Verdana" w:cs="Arial"/>
          <w:sz w:val="20"/>
          <w:szCs w:val="20"/>
          <w:lang w:val="es-ES" w:eastAsia="es-ES"/>
        </w:rPr>
        <w:t xml:space="preserve">La posición neta ponderada del portafolio </w:t>
      </w:r>
      <w:r w:rsidR="00C12D07" w:rsidRPr="000B43F9">
        <w:rPr>
          <w:rFonts w:ascii="Verdana" w:eastAsia="Times New Roman" w:hAnsi="Verdana" w:cs="Arial"/>
          <w:sz w:val="20"/>
          <w:szCs w:val="20"/>
          <w:lang w:val="es-ES" w:eastAsia="es-ES"/>
        </w:rPr>
        <w:t>descrit</w:t>
      </w:r>
      <w:r w:rsidR="00C12D07">
        <w:rPr>
          <w:rFonts w:ascii="Verdana" w:eastAsia="Times New Roman" w:hAnsi="Verdana" w:cs="Arial"/>
          <w:sz w:val="20"/>
          <w:szCs w:val="20"/>
          <w:lang w:val="es-ES" w:eastAsia="es-ES"/>
        </w:rPr>
        <w:t>a</w:t>
      </w:r>
      <w:r w:rsidR="00C12D07" w:rsidRPr="000B43F9">
        <w:rPr>
          <w:rFonts w:ascii="Verdana" w:eastAsia="Times New Roman" w:hAnsi="Verdana" w:cs="Arial"/>
          <w:sz w:val="20"/>
          <w:szCs w:val="20"/>
          <w:lang w:val="es-ES" w:eastAsia="es-ES"/>
        </w:rPr>
        <w:t xml:space="preserve"> en el párrafo 1.1.A8.</w:t>
      </w:r>
      <w:r w:rsidR="00C12D07">
        <w:rPr>
          <w:rFonts w:ascii="Verdana" w:eastAsia="Times New Roman" w:hAnsi="Verdana" w:cs="Arial"/>
          <w:sz w:val="20"/>
          <w:szCs w:val="20"/>
          <w:lang w:val="es-ES" w:eastAsia="es-ES"/>
        </w:rPr>
        <w:t>72</w:t>
      </w:r>
      <w:r w:rsidR="00C12D07" w:rsidRPr="000B43F9">
        <w:rPr>
          <w:rFonts w:ascii="Verdana" w:eastAsia="Times New Roman" w:hAnsi="Verdana" w:cs="Arial"/>
          <w:sz w:val="20"/>
          <w:szCs w:val="20"/>
          <w:lang w:val="es-ES" w:eastAsia="es-ES"/>
        </w:rPr>
        <w:t>.</w:t>
      </w:r>
    </w:p>
    <w:p w14:paraId="03623E5C" w14:textId="77777777" w:rsidR="00A83C87" w:rsidRPr="009C60D9" w:rsidRDefault="00A83C87" w:rsidP="00A83C87">
      <w:pPr>
        <w:spacing w:after="0" w:line="240" w:lineRule="auto"/>
        <w:ind w:left="567" w:hanging="283"/>
        <w:jc w:val="both"/>
        <w:rPr>
          <w:rFonts w:ascii="Verdana" w:eastAsia="Times New Roman" w:hAnsi="Verdana" w:cs="Arial"/>
          <w:sz w:val="20"/>
          <w:szCs w:val="20"/>
          <w:lang w:val="es-ES" w:eastAsia="es-ES"/>
        </w:rPr>
      </w:pPr>
    </w:p>
    <w:p w14:paraId="6AFEF688" w14:textId="77777777" w:rsidR="00A83C87" w:rsidRPr="009C60D9" w:rsidRDefault="00A83C87" w:rsidP="00A83C87">
      <w:pPr>
        <w:spacing w:after="0" w:line="240" w:lineRule="auto"/>
        <w:jc w:val="center"/>
        <w:rPr>
          <w:rFonts w:ascii="Verdana" w:eastAsia="Times New Roman" w:hAnsi="Verdana" w:cs="Arial"/>
          <w:b/>
          <w:bCs/>
          <w:sz w:val="20"/>
          <w:szCs w:val="20"/>
          <w:lang w:val="es-ES" w:eastAsia="es-ES"/>
        </w:rPr>
      </w:pPr>
      <w:r w:rsidRPr="009C60D9">
        <w:rPr>
          <w:rFonts w:ascii="Verdana" w:eastAsia="Times New Roman" w:hAnsi="Verdana" w:cs="Arial"/>
          <w:b/>
          <w:bCs/>
          <w:sz w:val="20"/>
          <w:szCs w:val="20"/>
          <w:lang w:val="es-ES" w:eastAsia="es-ES"/>
        </w:rPr>
        <w:t>Tabla 1</w:t>
      </w:r>
    </w:p>
    <w:p w14:paraId="6BC92DBA" w14:textId="77777777" w:rsidR="004D1695" w:rsidRDefault="004D1695" w:rsidP="00A83C87">
      <w:pPr>
        <w:spacing w:after="0" w:line="240" w:lineRule="auto"/>
        <w:jc w:val="center"/>
        <w:rPr>
          <w:rFonts w:ascii="Verdana" w:eastAsia="Times New Roman" w:hAnsi="Verdana" w:cs="Arial"/>
          <w:b/>
          <w:bCs/>
          <w:sz w:val="20"/>
          <w:szCs w:val="20"/>
          <w:lang w:val="es-ES" w:eastAsia="es-ES"/>
        </w:rPr>
      </w:pPr>
    </w:p>
    <w:p w14:paraId="5244B891" w14:textId="766069D6" w:rsidR="00A83C87" w:rsidRPr="009C60D9" w:rsidRDefault="00A83C87" w:rsidP="00A83C87">
      <w:pPr>
        <w:spacing w:after="0" w:line="240" w:lineRule="auto"/>
        <w:jc w:val="center"/>
        <w:rPr>
          <w:rFonts w:ascii="Verdana" w:eastAsia="Times New Roman" w:hAnsi="Verdana" w:cs="Arial"/>
          <w:b/>
          <w:bCs/>
          <w:sz w:val="20"/>
          <w:szCs w:val="20"/>
          <w:lang w:val="es-ES" w:eastAsia="es-ES"/>
        </w:rPr>
      </w:pPr>
      <w:r w:rsidRPr="009C60D9">
        <w:rPr>
          <w:rFonts w:ascii="Verdana" w:eastAsia="Times New Roman" w:hAnsi="Verdana" w:cs="Arial"/>
          <w:b/>
          <w:bCs/>
          <w:sz w:val="20"/>
          <w:szCs w:val="20"/>
          <w:lang w:val="es-ES" w:eastAsia="es-ES"/>
        </w:rPr>
        <w:t>Bandas, Choques de tasas de interés y factores de ajuste vertical y horizontal.</w:t>
      </w:r>
    </w:p>
    <w:p w14:paraId="32D12882" w14:textId="2FD6B542" w:rsidR="00A83C87" w:rsidRPr="009C60D9" w:rsidRDefault="00A83C87" w:rsidP="004D1695">
      <w:pPr>
        <w:spacing w:after="0" w:line="240" w:lineRule="auto"/>
        <w:jc w:val="center"/>
        <w:rPr>
          <w:rFonts w:ascii="Verdana" w:eastAsia="Times New Roman" w:hAnsi="Verdana" w:cs="Arial"/>
          <w:sz w:val="20"/>
          <w:szCs w:val="20"/>
          <w:lang w:val="es-ES" w:eastAsia="es-ES"/>
        </w:rPr>
      </w:pPr>
      <w:r w:rsidRPr="009C60D9">
        <w:rPr>
          <w:rFonts w:ascii="Verdana" w:eastAsia="Times New Roman" w:hAnsi="Verdana" w:cs="Arial"/>
          <w:b/>
          <w:bCs/>
          <w:sz w:val="20"/>
          <w:szCs w:val="20"/>
          <w:lang w:val="es-ES" w:eastAsia="es-ES"/>
        </w:rPr>
        <w:t>Riesgo general de tasa de interés</w:t>
      </w:r>
    </w:p>
    <w:p w14:paraId="1D0BD07B" w14:textId="77777777" w:rsidR="00A83C87" w:rsidRPr="009C60D9" w:rsidRDefault="00A83C87" w:rsidP="00A83C87">
      <w:pPr>
        <w:spacing w:after="0" w:line="240" w:lineRule="auto"/>
        <w:jc w:val="center"/>
        <w:rPr>
          <w:rFonts w:ascii="Verdana" w:eastAsia="Times New Roman" w:hAnsi="Verdana" w:cs="Arial"/>
          <w:sz w:val="20"/>
          <w:szCs w:val="20"/>
          <w:lang w:val="es-ES" w:eastAsia="es-ES"/>
        </w:rPr>
      </w:pPr>
      <w:r w:rsidRPr="009C60D9">
        <w:rPr>
          <w:rFonts w:ascii="Verdana" w:hAnsi="Verdana" w:cs="Arial"/>
          <w:b/>
          <w:noProof/>
          <w:sz w:val="20"/>
          <w:szCs w:val="20"/>
          <w:lang w:eastAsia="es-CO"/>
        </w:rPr>
        <w:drawing>
          <wp:inline distT="0" distB="0" distL="0" distR="0" wp14:anchorId="3CC8FC9A" wp14:editId="058F681B">
            <wp:extent cx="5402580" cy="2209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6697" cy="2211484"/>
                    </a:xfrm>
                    <a:prstGeom prst="rect">
                      <a:avLst/>
                    </a:prstGeom>
                    <a:noFill/>
                    <a:ln>
                      <a:noFill/>
                    </a:ln>
                  </pic:spPr>
                </pic:pic>
              </a:graphicData>
            </a:graphic>
          </wp:inline>
        </w:drawing>
      </w:r>
    </w:p>
    <w:p w14:paraId="6949BC92"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CD42E97" w14:textId="06ACFC3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74</w:t>
      </w:r>
      <w:r w:rsidRPr="000E0B7B">
        <w:rPr>
          <w:rFonts w:ascii="Verdana" w:hAnsi="Verdana"/>
          <w:sz w:val="20"/>
          <w:szCs w:val="20"/>
        </w:rPr>
        <w:t>.</w:t>
      </w:r>
    </w:p>
    <w:p w14:paraId="030C32DF" w14:textId="326D7EAB"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Los factores en la </w:t>
      </w:r>
      <w:r w:rsidR="00756E33">
        <w:rPr>
          <w:rFonts w:ascii="Verdana" w:eastAsia="Times New Roman" w:hAnsi="Verdana" w:cs="Arial"/>
          <w:sz w:val="20"/>
          <w:szCs w:val="20"/>
          <w:lang w:val="es-ES" w:eastAsia="es-ES"/>
        </w:rPr>
        <w:t>t</w:t>
      </w:r>
      <w:r w:rsidRPr="009C60D9">
        <w:rPr>
          <w:rFonts w:ascii="Verdana" w:eastAsia="Times New Roman" w:hAnsi="Verdana" w:cs="Arial"/>
          <w:sz w:val="20"/>
          <w:szCs w:val="20"/>
          <w:lang w:val="es-ES" w:eastAsia="es-ES"/>
        </w:rPr>
        <w:t>abla 1 serán revisados por la SFC y podrán ser modificados cuando los niveles establecidos no reflejen apropiadamente la sensibilidad de las posiciones expuestas al riesgo de tasa de interés.</w:t>
      </w:r>
    </w:p>
    <w:p w14:paraId="06084A97"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5D06BF3" w14:textId="0B06B386" w:rsidR="00A83C87" w:rsidRPr="0000167A" w:rsidRDefault="00A83C87" w:rsidP="0000167A">
      <w:pPr>
        <w:pStyle w:val="Prrafodelista"/>
        <w:numPr>
          <w:ilvl w:val="0"/>
          <w:numId w:val="27"/>
        </w:numPr>
        <w:ind w:left="284" w:hanging="284"/>
        <w:jc w:val="both"/>
        <w:rPr>
          <w:rFonts w:ascii="Verdana" w:eastAsia="Times New Roman" w:hAnsi="Verdana" w:cs="Arial"/>
          <w:sz w:val="20"/>
          <w:szCs w:val="20"/>
          <w:lang w:val="es-ES" w:eastAsia="es-ES"/>
        </w:rPr>
      </w:pPr>
      <w:r w:rsidRPr="0000167A">
        <w:rPr>
          <w:rFonts w:ascii="Verdana" w:hAnsi="Verdana"/>
          <w:b/>
          <w:bCs/>
          <w:sz w:val="20"/>
          <w:szCs w:val="20"/>
        </w:rPr>
        <w:t>Determinación exposición total</w:t>
      </w:r>
    </w:p>
    <w:p w14:paraId="67CA3008" w14:textId="616ED0A6"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75</w:t>
      </w:r>
      <w:r w:rsidRPr="000E0B7B">
        <w:rPr>
          <w:rFonts w:ascii="Verdana" w:hAnsi="Verdana"/>
          <w:sz w:val="20"/>
          <w:szCs w:val="20"/>
        </w:rPr>
        <w:t>.</w:t>
      </w:r>
    </w:p>
    <w:p w14:paraId="52A18549" w14:textId="4C0F18F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el cálculo de la exposición al riesgo de tasa de interés deben sumarse los valores correspondientes al riesgo para cada escalera de bandas, calculados según lo descrito </w:t>
      </w:r>
      <w:r w:rsidR="00FE5249">
        <w:rPr>
          <w:rFonts w:ascii="Verdana" w:eastAsia="Times New Roman" w:hAnsi="Verdana" w:cs="Arial"/>
          <w:sz w:val="20"/>
          <w:szCs w:val="20"/>
          <w:lang w:val="es-ES" w:eastAsia="es-ES"/>
        </w:rPr>
        <w:t>entre los párrafos 1.1.A8.45. y 1.1.A8.54.s</w:t>
      </w:r>
      <w:r w:rsidRPr="009C60D9">
        <w:rPr>
          <w:rFonts w:ascii="Verdana" w:eastAsia="Times New Roman" w:hAnsi="Verdana" w:cs="Arial"/>
          <w:sz w:val="20"/>
          <w:szCs w:val="20"/>
          <w:lang w:val="es-ES" w:eastAsia="es-ES"/>
        </w:rPr>
        <w:t xml:space="preserve"> Adicionalmente, deben añadirse cuando correspondan los siguientes cargos asociados a las posiciones en opciones:</w:t>
      </w:r>
    </w:p>
    <w:p w14:paraId="19832E5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894A960" w14:textId="2D67F759" w:rsidR="00A83C87" w:rsidRPr="009C60D9" w:rsidRDefault="00A83C87" w:rsidP="000017F7">
      <w:pPr>
        <w:pStyle w:val="Prrafodelista"/>
        <w:numPr>
          <w:ilvl w:val="0"/>
          <w:numId w:val="3"/>
        </w:numPr>
        <w:tabs>
          <w:tab w:val="left" w:pos="630"/>
        </w:tabs>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las entidades elegibles para el tratamiento simplificado de opciones descrito </w:t>
      </w:r>
      <w:r w:rsidR="00FE5249">
        <w:rPr>
          <w:rFonts w:ascii="Verdana" w:eastAsia="Times New Roman" w:hAnsi="Verdana" w:cs="Arial"/>
          <w:sz w:val="20"/>
          <w:szCs w:val="20"/>
          <w:lang w:val="es-ES" w:eastAsia="es-ES"/>
        </w:rPr>
        <w:t>entre los párrafos 1.1.A8</w:t>
      </w:r>
      <w:r w:rsidR="00DA6761">
        <w:rPr>
          <w:rFonts w:ascii="Verdana" w:eastAsia="Times New Roman" w:hAnsi="Verdana" w:cs="Arial"/>
          <w:sz w:val="20"/>
          <w:szCs w:val="20"/>
          <w:lang w:val="es-ES" w:eastAsia="es-ES"/>
        </w:rPr>
        <w:t>.96. 1.1.A8.109.</w:t>
      </w:r>
      <w:r w:rsidRPr="009C60D9">
        <w:rPr>
          <w:rFonts w:ascii="Verdana" w:eastAsia="Times New Roman" w:hAnsi="Verdana" w:cs="Arial"/>
          <w:sz w:val="20"/>
          <w:szCs w:val="20"/>
          <w:lang w:val="es-ES" w:eastAsia="es-ES"/>
        </w:rPr>
        <w:t>, la exposición resultante de las posiciones en opciones cuyos subyacentes sean tasas de interés o títulos de deuda, o</w:t>
      </w:r>
    </w:p>
    <w:p w14:paraId="5A329A72"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7AD48129" w14:textId="34EC1FCC" w:rsidR="00A83C87" w:rsidRDefault="00A83C87" w:rsidP="00A83C87">
      <w:pPr>
        <w:pStyle w:val="Prrafodelista"/>
        <w:numPr>
          <w:ilvl w:val="0"/>
          <w:numId w:val="3"/>
        </w:numPr>
        <w:tabs>
          <w:tab w:val="left" w:pos="630"/>
        </w:tabs>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las entidades que deban aplicar la metodología intermedia descrita </w:t>
      </w:r>
      <w:r w:rsidR="001C29A0">
        <w:rPr>
          <w:rFonts w:ascii="Verdana" w:eastAsia="Times New Roman" w:hAnsi="Verdana" w:cs="Arial"/>
          <w:sz w:val="20"/>
          <w:szCs w:val="20"/>
          <w:lang w:val="es-ES" w:eastAsia="es-ES"/>
        </w:rPr>
        <w:t xml:space="preserve">entre los párrafos 1.1.A8.96. </w:t>
      </w:r>
      <w:r w:rsidR="00CB19B5">
        <w:rPr>
          <w:rFonts w:ascii="Verdana" w:eastAsia="Times New Roman" w:hAnsi="Verdana" w:cs="Arial"/>
          <w:sz w:val="20"/>
          <w:szCs w:val="20"/>
          <w:lang w:val="es-ES" w:eastAsia="es-ES"/>
        </w:rPr>
        <w:t xml:space="preserve">y </w:t>
      </w:r>
      <w:r w:rsidR="001C29A0">
        <w:rPr>
          <w:rFonts w:ascii="Verdana" w:eastAsia="Times New Roman" w:hAnsi="Verdana" w:cs="Arial"/>
          <w:sz w:val="20"/>
          <w:szCs w:val="20"/>
          <w:lang w:val="es-ES" w:eastAsia="es-ES"/>
        </w:rPr>
        <w:t>1.1.A8.109.</w:t>
      </w:r>
      <w:r w:rsidRPr="009C60D9">
        <w:rPr>
          <w:rFonts w:ascii="Verdana" w:eastAsia="Times New Roman" w:hAnsi="Verdana" w:cs="Arial"/>
          <w:sz w:val="20"/>
          <w:szCs w:val="20"/>
          <w:lang w:val="es-ES" w:eastAsia="es-ES"/>
        </w:rPr>
        <w:t>, los cargos correspondientes a los riesgos Gamma y Vega de dichas opciones.</w:t>
      </w:r>
    </w:p>
    <w:p w14:paraId="1979289E" w14:textId="77777777" w:rsidR="00F64093" w:rsidRPr="00F64093" w:rsidRDefault="00F64093" w:rsidP="00F64093">
      <w:pPr>
        <w:pStyle w:val="Prrafodelista"/>
        <w:rPr>
          <w:rFonts w:ascii="Verdana" w:eastAsia="Times New Roman" w:hAnsi="Verdana" w:cs="Arial"/>
          <w:sz w:val="20"/>
          <w:szCs w:val="20"/>
          <w:lang w:val="es-ES" w:eastAsia="es-ES"/>
        </w:rPr>
      </w:pPr>
    </w:p>
    <w:p w14:paraId="5A295B62" w14:textId="19317696" w:rsidR="00A83C87" w:rsidRDefault="00A83C87" w:rsidP="00F63A78">
      <w:pPr>
        <w:jc w:val="both"/>
        <w:rPr>
          <w:rFonts w:ascii="Verdana" w:eastAsia="Times New Roman" w:hAnsi="Verdana" w:cs="Arial"/>
          <w:b/>
          <w:sz w:val="20"/>
          <w:szCs w:val="20"/>
          <w:lang w:val="es-ES" w:eastAsia="es-ES"/>
        </w:rPr>
      </w:pPr>
      <w:r w:rsidRPr="000017F7">
        <w:rPr>
          <w:rFonts w:ascii="Verdana" w:hAnsi="Verdana"/>
          <w:b/>
          <w:bCs/>
          <w:sz w:val="20"/>
          <w:szCs w:val="20"/>
        </w:rPr>
        <w:t>Riesgo de tasa de cambio</w:t>
      </w:r>
    </w:p>
    <w:p w14:paraId="7FA3955D" w14:textId="0F57EE8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76</w:t>
      </w:r>
      <w:r w:rsidRPr="000E0B7B">
        <w:rPr>
          <w:rFonts w:ascii="Verdana" w:hAnsi="Verdana"/>
          <w:sz w:val="20"/>
          <w:szCs w:val="20"/>
        </w:rPr>
        <w:t>.</w:t>
      </w:r>
    </w:p>
    <w:p w14:paraId="41A61E06"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Esta sección muestra la metodología para calcular el requerimiento mínimo de capital necesario para cubrir los riesgos asociados a tomar o mantener posiciones denominadas en monedas extranjeras, tanto en el libro de tesorería como en el bancario.</w:t>
      </w:r>
    </w:p>
    <w:p w14:paraId="0D64855E" w14:textId="7FD937FD" w:rsidR="00A83C87" w:rsidRPr="000E0B7B" w:rsidRDefault="00A83C87" w:rsidP="00A83C87">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77</w:t>
      </w:r>
      <w:r w:rsidRPr="000E0B7B">
        <w:rPr>
          <w:rFonts w:ascii="Verdana" w:hAnsi="Verdana"/>
          <w:sz w:val="20"/>
          <w:szCs w:val="20"/>
        </w:rPr>
        <w:t>.</w:t>
      </w:r>
    </w:p>
    <w:p w14:paraId="645D25B6"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calcular la posición neta en cada moneda deben sumarse las siguientes posiciones:</w:t>
      </w:r>
    </w:p>
    <w:p w14:paraId="647CAAA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1DABCC52" w14:textId="77777777" w:rsidR="00A83C87" w:rsidRPr="009C60D9" w:rsidRDefault="00A83C87" w:rsidP="000017F7">
      <w:pPr>
        <w:pStyle w:val="Prrafodelista"/>
        <w:numPr>
          <w:ilvl w:val="0"/>
          <w:numId w:val="17"/>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 posición neta de las operaciones spot de la entidad, calculada como la diferencia entre los activos y los pasivos, incluyendo en ambos casos los intereses causados, denominados en la moneda en cuestión.</w:t>
      </w:r>
    </w:p>
    <w:p w14:paraId="62CA1EBC"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7F09EDEE" w14:textId="77777777" w:rsidR="00A83C87" w:rsidRPr="009C60D9" w:rsidRDefault="00A83C87" w:rsidP="000017F7">
      <w:pPr>
        <w:pStyle w:val="Prrafodelista"/>
        <w:numPr>
          <w:ilvl w:val="0"/>
          <w:numId w:val="17"/>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 posición neta de las operaciones forward de la entidad, calculada como la diferencia entre las posiciones largas en forwards, futuros y operaciones a plazo sobre la moneda en cuestión, y las posiciones cortas en dichos instrumentos.</w:t>
      </w:r>
    </w:p>
    <w:p w14:paraId="3AF9C949"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1BABB8E2" w14:textId="06A36AFC" w:rsidR="00A83C87" w:rsidRPr="009C60D9" w:rsidRDefault="00A83C87" w:rsidP="000017F7">
      <w:pPr>
        <w:pStyle w:val="Prrafodelista"/>
        <w:numPr>
          <w:ilvl w:val="0"/>
          <w:numId w:val="17"/>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 posición neta de las operaciones en derivados de la entidad cuyo subyacente no sea una divisa, pero si un título o una tasa de interés denominados en dicha moneda. Para calcular esta posición deberá computarse la diferencia entre las posiciones nocionales largas y las posiciones nocionales cortas determinadas </w:t>
      </w:r>
      <w:proofErr w:type="gramStart"/>
      <w:r w:rsidRPr="009C60D9">
        <w:rPr>
          <w:rFonts w:ascii="Verdana" w:eastAsia="Times New Roman" w:hAnsi="Verdana" w:cs="Arial"/>
          <w:sz w:val="20"/>
          <w:szCs w:val="20"/>
          <w:lang w:val="es-ES" w:eastAsia="es-ES"/>
        </w:rPr>
        <w:t>de acuerdo a</w:t>
      </w:r>
      <w:proofErr w:type="gramEnd"/>
      <w:r w:rsidRPr="009C60D9">
        <w:rPr>
          <w:rFonts w:ascii="Verdana" w:eastAsia="Times New Roman" w:hAnsi="Verdana" w:cs="Arial"/>
          <w:sz w:val="20"/>
          <w:szCs w:val="20"/>
          <w:lang w:val="es-ES" w:eastAsia="es-ES"/>
        </w:rPr>
        <w:t xml:space="preserve"> lo previsto </w:t>
      </w:r>
      <w:r w:rsidR="00D060A8">
        <w:rPr>
          <w:rFonts w:ascii="Verdana" w:eastAsia="Times New Roman" w:hAnsi="Verdana" w:cs="Arial"/>
          <w:sz w:val="20"/>
          <w:szCs w:val="20"/>
          <w:lang w:val="es-ES" w:eastAsia="es-ES"/>
        </w:rPr>
        <w:t>entre los párrafos 1.1.A8.6. y 1.1.A8.35</w:t>
      </w:r>
      <w:r w:rsidRPr="009C60D9">
        <w:rPr>
          <w:rFonts w:ascii="Verdana" w:eastAsia="Times New Roman" w:hAnsi="Verdana" w:cs="Arial"/>
          <w:sz w:val="20"/>
          <w:szCs w:val="20"/>
          <w:lang w:val="es-ES" w:eastAsia="es-ES"/>
        </w:rPr>
        <w:t>.</w:t>
      </w:r>
    </w:p>
    <w:p w14:paraId="25E074E5"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2EF130E9" w14:textId="367793E7" w:rsidR="00A83C87" w:rsidRPr="009C60D9" w:rsidRDefault="00A83C87" w:rsidP="000017F7">
      <w:pPr>
        <w:pStyle w:val="Prrafodelista"/>
        <w:numPr>
          <w:ilvl w:val="0"/>
          <w:numId w:val="17"/>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Adicionalmente, cuando corresponda según lo </w:t>
      </w:r>
      <w:r w:rsidRPr="00CB19B5">
        <w:rPr>
          <w:rFonts w:ascii="Verdana" w:eastAsia="Times New Roman" w:hAnsi="Verdana" w:cs="Arial"/>
          <w:sz w:val="20"/>
          <w:szCs w:val="20"/>
          <w:lang w:val="es-ES" w:eastAsia="es-ES"/>
        </w:rPr>
        <w:t xml:space="preserve">previsto </w:t>
      </w:r>
      <w:r w:rsidR="00CB19B5" w:rsidRPr="00CB19B5">
        <w:rPr>
          <w:rFonts w:ascii="Verdana" w:eastAsia="Times New Roman" w:hAnsi="Verdana" w:cs="Arial"/>
          <w:sz w:val="20"/>
          <w:szCs w:val="20"/>
          <w:lang w:val="es-ES" w:eastAsia="es-ES"/>
        </w:rPr>
        <w:t>entre los párrafos 1.1.A8.96. y 1.1.A8.109.</w:t>
      </w:r>
      <w:r w:rsidRPr="00CB19B5">
        <w:rPr>
          <w:rFonts w:ascii="Verdana" w:eastAsia="Times New Roman" w:hAnsi="Verdana" w:cs="Arial"/>
          <w:sz w:val="20"/>
          <w:szCs w:val="20"/>
          <w:lang w:val="es-ES" w:eastAsia="es-ES"/>
        </w:rPr>
        <w:t>, las posiciones delta ponderadas de opciones en monedas.</w:t>
      </w:r>
    </w:p>
    <w:p w14:paraId="75EE2B90"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4D0A3A1C" w14:textId="3CFAEAA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78</w:t>
      </w:r>
      <w:r w:rsidRPr="000E0B7B">
        <w:rPr>
          <w:rFonts w:ascii="Verdana" w:hAnsi="Verdana"/>
          <w:sz w:val="20"/>
          <w:szCs w:val="20"/>
        </w:rPr>
        <w:t>.</w:t>
      </w:r>
    </w:p>
    <w:p w14:paraId="1C641552"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Una vez obtenida la posición neta de cada moneda, su equivalente en moneda legal se calculará de la siguiente manera:</w:t>
      </w:r>
    </w:p>
    <w:p w14:paraId="4692B9C3"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05ED58EB" w14:textId="77777777" w:rsidR="00A83C87" w:rsidRPr="009C60D9" w:rsidRDefault="00A83C87" w:rsidP="000017F7">
      <w:pPr>
        <w:pStyle w:val="Prrafodelista"/>
        <w:numPr>
          <w:ilvl w:val="0"/>
          <w:numId w:val="18"/>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determinar la exposición neta en dólares de los Estados Unidos de Norteamérica, se multiplicará la posición neta en dólares por la Tasa de Cambio Representativa del Mercado (TCRM) calculada en la fecha de la evaluación.</w:t>
      </w:r>
    </w:p>
    <w:p w14:paraId="7D78D222"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1F226D59" w14:textId="550AD373" w:rsidR="00A83C87" w:rsidRPr="009C60D9" w:rsidRDefault="00A83C87" w:rsidP="000017F7">
      <w:pPr>
        <w:pStyle w:val="Prrafodelista"/>
        <w:numPr>
          <w:ilvl w:val="0"/>
          <w:numId w:val="18"/>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monedas distintas al dólar de los Estados Unidos de Norteamérica, se debe convertir previamente las exposiciones a dólares de los Estados Unidos de Norteamérica con base en las tasas de conversión de divisas publicadas para el día del cálculo en la página Web del Banco Central Europeo (BCE), con 6 decimales aproximando el último por el sistema de redondeo </w:t>
      </w:r>
      <w:r w:rsidR="00A12BD2" w:rsidRPr="000E0B7B">
        <w:rPr>
          <w:rFonts w:ascii="Verdana" w:hAnsi="Verdana"/>
          <w:sz w:val="20"/>
        </w:rPr>
        <w:t>(</w:t>
      </w:r>
      <w:r w:rsidR="00A12BD2">
        <w:rPr>
          <w:rFonts w:ascii="Verdana" w:hAnsi="Verdana"/>
          <w:sz w:val="20"/>
        </w:rPr>
        <w:t xml:space="preserve">párrafo 3.4.1.48. de la </w:t>
      </w:r>
      <w:r w:rsidR="008A1A25">
        <w:rPr>
          <w:rFonts w:ascii="Verdana" w:hAnsi="Verdana"/>
          <w:sz w:val="20"/>
        </w:rPr>
        <w:t>CBF</w:t>
      </w:r>
      <w:r w:rsidR="00A12BD2" w:rsidRPr="000E0B7B">
        <w:rPr>
          <w:rFonts w:ascii="Verdana" w:hAnsi="Verdana"/>
          <w:sz w:val="20"/>
        </w:rPr>
        <w:t>).</w:t>
      </w:r>
    </w:p>
    <w:p w14:paraId="06C9A0B7"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0027347F" w14:textId="3A62262B"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79</w:t>
      </w:r>
      <w:r w:rsidRPr="000E0B7B">
        <w:rPr>
          <w:rFonts w:ascii="Verdana" w:hAnsi="Verdana"/>
          <w:sz w:val="20"/>
          <w:szCs w:val="20"/>
        </w:rPr>
        <w:t>.</w:t>
      </w:r>
    </w:p>
    <w:p w14:paraId="7B159F76" w14:textId="15AD7DC0"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el cálculo de la exposición al riesgo de tasa de cambio, las entidades vigiladas deben calcular la sensibilidad neta en cada moneda como el producto de la posición neta y el factor de sensibilidad correspondiente definido en la </w:t>
      </w:r>
      <w:r w:rsidR="00DC3591">
        <w:rPr>
          <w:rFonts w:ascii="Verdana" w:eastAsia="Times New Roman" w:hAnsi="Verdana" w:cs="Arial"/>
          <w:sz w:val="20"/>
          <w:szCs w:val="20"/>
          <w:lang w:val="es-ES" w:eastAsia="es-ES"/>
        </w:rPr>
        <w:t>t</w:t>
      </w:r>
      <w:r w:rsidRPr="009C60D9">
        <w:rPr>
          <w:rFonts w:ascii="Verdana" w:eastAsia="Times New Roman" w:hAnsi="Verdana" w:cs="Arial"/>
          <w:sz w:val="20"/>
          <w:szCs w:val="20"/>
          <w:lang w:val="es-ES" w:eastAsia="es-ES"/>
        </w:rPr>
        <w:t>abla 2. Esta sensibilidad tendrá un valor positivo cuando la posición neta en una moneda sea larga y negativo cuando la posición neta sea corta.</w:t>
      </w:r>
    </w:p>
    <w:p w14:paraId="07935BF9"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B3C02C0" w14:textId="768B8816"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8</w:t>
      </w:r>
      <w:r w:rsidR="00C2129A">
        <w:rPr>
          <w:rFonts w:ascii="Verdana" w:hAnsi="Verdana"/>
          <w:sz w:val="20"/>
          <w:szCs w:val="20"/>
        </w:rPr>
        <w:t>0</w:t>
      </w:r>
      <w:r w:rsidRPr="000E0B7B">
        <w:rPr>
          <w:rFonts w:ascii="Verdana" w:hAnsi="Verdana"/>
          <w:sz w:val="20"/>
          <w:szCs w:val="20"/>
        </w:rPr>
        <w:t>.</w:t>
      </w:r>
    </w:p>
    <w:p w14:paraId="0842486F" w14:textId="01CA1826" w:rsidR="00A83C87" w:rsidRPr="009C60D9" w:rsidRDefault="00A83C87" w:rsidP="00A83C87">
      <w:pPr>
        <w:pStyle w:val="Textoindependiente"/>
        <w:rPr>
          <w:rFonts w:ascii="Verdana" w:hAnsi="Verdana"/>
          <w:sz w:val="20"/>
        </w:rPr>
      </w:pPr>
      <w:r w:rsidRPr="009C60D9">
        <w:rPr>
          <w:rFonts w:ascii="Verdana" w:hAnsi="Verdana"/>
          <w:sz w:val="20"/>
        </w:rPr>
        <w:t xml:space="preserve">Para los casos en donde la entidad vigilada tenga inversiones en subordinadas del exterior, se debe emplear el factor de sensibilidad definido en la </w:t>
      </w:r>
      <w:r w:rsidR="00DC3591">
        <w:rPr>
          <w:rFonts w:ascii="Verdana" w:hAnsi="Verdana"/>
          <w:sz w:val="20"/>
        </w:rPr>
        <w:t>t</w:t>
      </w:r>
      <w:r w:rsidRPr="009C60D9">
        <w:rPr>
          <w:rFonts w:ascii="Verdana" w:hAnsi="Verdana"/>
          <w:sz w:val="20"/>
        </w:rPr>
        <w:t>abla 2, correspondiente a la moneda de cada país en donde se encuentre domiciliada la respectiva subordinada.</w:t>
      </w:r>
    </w:p>
    <w:p w14:paraId="71E18524" w14:textId="77777777" w:rsidR="00A83C87" w:rsidRPr="009C60D9" w:rsidRDefault="00A83C87" w:rsidP="00A83C87">
      <w:pPr>
        <w:pStyle w:val="Textoindependiente"/>
        <w:rPr>
          <w:rFonts w:ascii="Verdana" w:hAnsi="Verdana"/>
          <w:sz w:val="20"/>
        </w:rPr>
      </w:pPr>
    </w:p>
    <w:p w14:paraId="73BDA678" w14:textId="692F8011"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8</w:t>
      </w:r>
      <w:r w:rsidR="00C2129A">
        <w:rPr>
          <w:rFonts w:ascii="Verdana" w:hAnsi="Verdana"/>
          <w:sz w:val="20"/>
          <w:szCs w:val="20"/>
        </w:rPr>
        <w:t>1</w:t>
      </w:r>
      <w:r w:rsidRPr="000E0B7B">
        <w:rPr>
          <w:rFonts w:ascii="Verdana" w:hAnsi="Verdana"/>
          <w:sz w:val="20"/>
          <w:szCs w:val="20"/>
        </w:rPr>
        <w:t>.</w:t>
      </w:r>
    </w:p>
    <w:p w14:paraId="4DA8351E" w14:textId="77777777" w:rsidR="00A83C87" w:rsidRPr="009C60D9" w:rsidRDefault="00A83C87" w:rsidP="00A83C87">
      <w:pPr>
        <w:pStyle w:val="Textoindependiente"/>
        <w:rPr>
          <w:rFonts w:ascii="Verdana" w:hAnsi="Verdana"/>
          <w:sz w:val="20"/>
        </w:rPr>
      </w:pPr>
      <w:r w:rsidRPr="009C60D9">
        <w:rPr>
          <w:rFonts w:ascii="Verdana" w:hAnsi="Verdana"/>
          <w:sz w:val="20"/>
        </w:rPr>
        <w:t>La exposición al riesgo de tasa de cambio se calcula entonces como la suma de los siguientes componentes:</w:t>
      </w:r>
    </w:p>
    <w:p w14:paraId="490A8C8D" w14:textId="77777777" w:rsidR="00A83C87" w:rsidRPr="009C60D9" w:rsidRDefault="00A83C87" w:rsidP="00A83C87">
      <w:pPr>
        <w:pStyle w:val="Textoindependiente"/>
        <w:rPr>
          <w:rFonts w:ascii="Verdana" w:hAnsi="Verdana"/>
          <w:sz w:val="20"/>
        </w:rPr>
      </w:pPr>
    </w:p>
    <w:p w14:paraId="34BED018" w14:textId="77777777" w:rsidR="00A83C87" w:rsidRPr="009C60D9" w:rsidRDefault="00A83C87" w:rsidP="000017F7">
      <w:pPr>
        <w:pStyle w:val="Prrafodelista"/>
        <w:numPr>
          <w:ilvl w:val="0"/>
          <w:numId w:val="19"/>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El mayor valor entre la suma de las sensibilidades netas positivas y el valor absoluto de la suma de las sensibilidades netas negativas.</w:t>
      </w:r>
    </w:p>
    <w:p w14:paraId="1741FE84"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59CDC09A" w14:textId="0C5A45CC" w:rsidR="00A83C87" w:rsidRPr="009C60D9" w:rsidRDefault="00A83C87" w:rsidP="000017F7">
      <w:pPr>
        <w:pStyle w:val="Prrafodelista"/>
        <w:numPr>
          <w:ilvl w:val="0"/>
          <w:numId w:val="19"/>
        </w:numPr>
        <w:spacing w:after="0" w:line="240" w:lineRule="auto"/>
        <w:ind w:left="567" w:hanging="567"/>
        <w:jc w:val="both"/>
        <w:rPr>
          <w:rFonts w:ascii="Verdana" w:eastAsia="Times New Roman" w:hAnsi="Verdana" w:cs="Arial"/>
          <w:sz w:val="20"/>
          <w:szCs w:val="20"/>
          <w:lang w:val="es-ES" w:eastAsia="es-ES"/>
        </w:rPr>
      </w:pPr>
      <w:r w:rsidRPr="003C0E8D">
        <w:rPr>
          <w:rFonts w:ascii="Verdana" w:eastAsia="Times New Roman" w:hAnsi="Verdana" w:cs="Arial"/>
          <w:sz w:val="20"/>
          <w:szCs w:val="20"/>
          <w:lang w:val="es-ES" w:eastAsia="es-ES"/>
        </w:rPr>
        <w:t xml:space="preserve">Para las entidades elegibles para la aproximación simplificada de tratamiento de opciones descrita en </w:t>
      </w:r>
      <w:r w:rsidR="000561ED" w:rsidRPr="003C0E8D">
        <w:rPr>
          <w:rFonts w:ascii="Verdana" w:eastAsia="Times New Roman" w:hAnsi="Verdana" w:cs="Arial"/>
          <w:sz w:val="20"/>
          <w:szCs w:val="20"/>
          <w:lang w:val="es-ES" w:eastAsia="es-ES"/>
        </w:rPr>
        <w:t xml:space="preserve">los párrafos </w:t>
      </w:r>
      <w:r w:rsidR="003C0E8D" w:rsidRPr="003C0E8D">
        <w:rPr>
          <w:rFonts w:ascii="Verdana" w:eastAsia="Times New Roman" w:hAnsi="Verdana" w:cs="Arial"/>
          <w:sz w:val="20"/>
          <w:szCs w:val="20"/>
          <w:lang w:val="es-ES" w:eastAsia="es-ES"/>
        </w:rPr>
        <w:t>1.1.A8.98. y 1.1.A8.99.</w:t>
      </w:r>
      <w:r w:rsidRPr="003C0E8D">
        <w:rPr>
          <w:rFonts w:ascii="Verdana" w:eastAsia="Times New Roman" w:hAnsi="Verdana" w:cs="Arial"/>
          <w:sz w:val="20"/>
          <w:szCs w:val="20"/>
          <w:lang w:val="es-ES" w:eastAsia="es-ES"/>
        </w:rPr>
        <w:t>, la exposición resultante de la</w:t>
      </w:r>
      <w:r w:rsidRPr="009C60D9">
        <w:rPr>
          <w:rFonts w:ascii="Verdana" w:eastAsia="Times New Roman" w:hAnsi="Verdana" w:cs="Arial"/>
          <w:sz w:val="20"/>
          <w:szCs w:val="20"/>
          <w:lang w:val="es-ES" w:eastAsia="es-ES"/>
        </w:rPr>
        <w:t>s posiciones en opciones sobre monedas, o</w:t>
      </w:r>
    </w:p>
    <w:p w14:paraId="4562CC0E" w14:textId="77777777" w:rsidR="00A83C87" w:rsidRPr="009C60D9" w:rsidRDefault="00A83C87" w:rsidP="00A83C87">
      <w:pPr>
        <w:pStyle w:val="Prrafodelista"/>
        <w:spacing w:after="0" w:line="240" w:lineRule="auto"/>
        <w:ind w:left="567" w:hanging="567"/>
        <w:jc w:val="both"/>
        <w:rPr>
          <w:rFonts w:ascii="Verdana" w:eastAsia="Times New Roman" w:hAnsi="Verdana" w:cs="Arial"/>
          <w:sz w:val="20"/>
          <w:szCs w:val="20"/>
          <w:lang w:val="es-ES" w:eastAsia="es-ES"/>
        </w:rPr>
      </w:pPr>
    </w:p>
    <w:p w14:paraId="47B28085" w14:textId="6A9DD874" w:rsidR="00A83C87" w:rsidRPr="00F62CC8" w:rsidRDefault="00A83C87" w:rsidP="00A83C87">
      <w:pPr>
        <w:pStyle w:val="Prrafodelista"/>
        <w:numPr>
          <w:ilvl w:val="0"/>
          <w:numId w:val="19"/>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las entidades que deban a</w:t>
      </w:r>
      <w:r w:rsidRPr="002E46DE">
        <w:rPr>
          <w:rFonts w:ascii="Verdana" w:eastAsia="Times New Roman" w:hAnsi="Verdana" w:cs="Arial"/>
          <w:sz w:val="20"/>
          <w:szCs w:val="20"/>
          <w:lang w:val="es-ES" w:eastAsia="es-ES"/>
        </w:rPr>
        <w:t xml:space="preserve">plicar la metodología intermedia </w:t>
      </w:r>
      <w:r w:rsidR="003C0E8D" w:rsidRPr="002E46DE">
        <w:rPr>
          <w:rFonts w:ascii="Verdana" w:eastAsia="Times New Roman" w:hAnsi="Verdana" w:cs="Arial"/>
          <w:sz w:val="20"/>
          <w:szCs w:val="20"/>
          <w:lang w:val="es-ES" w:eastAsia="es-ES"/>
        </w:rPr>
        <w:t>descrita entre los párrafos 1.1.A8.100. y 1.1.A8.</w:t>
      </w:r>
      <w:r w:rsidR="00A203FC" w:rsidRPr="002E46DE">
        <w:rPr>
          <w:rFonts w:ascii="Verdana" w:eastAsia="Times New Roman" w:hAnsi="Verdana" w:cs="Arial"/>
          <w:sz w:val="20"/>
          <w:szCs w:val="20"/>
          <w:lang w:val="es-ES" w:eastAsia="es-ES"/>
        </w:rPr>
        <w:t>109</w:t>
      </w:r>
      <w:r w:rsidR="003C0E8D" w:rsidRPr="002E46DE">
        <w:rPr>
          <w:rFonts w:ascii="Verdana" w:eastAsia="Times New Roman" w:hAnsi="Verdana" w:cs="Arial"/>
          <w:sz w:val="20"/>
          <w:szCs w:val="20"/>
          <w:lang w:val="es-ES" w:eastAsia="es-ES"/>
        </w:rPr>
        <w:t>.</w:t>
      </w:r>
      <w:r w:rsidRPr="002E46DE">
        <w:rPr>
          <w:rFonts w:ascii="Verdana" w:eastAsia="Times New Roman" w:hAnsi="Verdana" w:cs="Arial"/>
          <w:sz w:val="20"/>
          <w:szCs w:val="20"/>
          <w:lang w:val="es-ES" w:eastAsia="es-ES"/>
        </w:rPr>
        <w:t>, los cargos correspondientes a los riesgos Gamma y Vega de dichas opciones</w:t>
      </w:r>
      <w:r w:rsidRPr="009C60D9">
        <w:rPr>
          <w:rFonts w:ascii="Verdana" w:eastAsia="Times New Roman" w:hAnsi="Verdana" w:cs="Arial"/>
          <w:sz w:val="20"/>
          <w:szCs w:val="20"/>
          <w:lang w:val="es-ES" w:eastAsia="es-ES"/>
        </w:rPr>
        <w:t>.</w:t>
      </w:r>
    </w:p>
    <w:p w14:paraId="1A671852" w14:textId="77777777" w:rsidR="00070957" w:rsidRDefault="00070957" w:rsidP="00F63A78">
      <w:pPr>
        <w:jc w:val="both"/>
        <w:rPr>
          <w:rFonts w:ascii="Verdana" w:hAnsi="Verdana"/>
          <w:b/>
          <w:bCs/>
          <w:sz w:val="20"/>
          <w:szCs w:val="20"/>
        </w:rPr>
      </w:pPr>
    </w:p>
    <w:p w14:paraId="6546CFBD" w14:textId="0DD0B2C6" w:rsidR="00A83C87" w:rsidRDefault="00A83C87" w:rsidP="00F63A78">
      <w:pPr>
        <w:jc w:val="both"/>
        <w:rPr>
          <w:rFonts w:ascii="Verdana" w:eastAsia="Times New Roman" w:hAnsi="Verdana" w:cs="Arial"/>
          <w:b/>
          <w:sz w:val="20"/>
          <w:szCs w:val="20"/>
          <w:lang w:val="es-ES" w:eastAsia="es-ES"/>
        </w:rPr>
      </w:pPr>
      <w:r w:rsidRPr="000017F7">
        <w:rPr>
          <w:rFonts w:ascii="Verdana" w:hAnsi="Verdana"/>
          <w:b/>
          <w:bCs/>
          <w:sz w:val="20"/>
          <w:szCs w:val="20"/>
        </w:rPr>
        <w:t>Riesgo de precio de acciones</w:t>
      </w:r>
    </w:p>
    <w:p w14:paraId="689C742D" w14:textId="6A97C57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82</w:t>
      </w:r>
      <w:r w:rsidRPr="000E0B7B">
        <w:rPr>
          <w:rFonts w:ascii="Verdana" w:hAnsi="Verdana"/>
          <w:sz w:val="20"/>
          <w:szCs w:val="20"/>
        </w:rPr>
        <w:t>.</w:t>
      </w:r>
    </w:p>
    <w:p w14:paraId="5521DF7A"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Esta sección muestra la metodología para calcular los riesgos asociados a tomar o mantener posiciones en acciones en el libro de tesorería.</w:t>
      </w:r>
    </w:p>
    <w:p w14:paraId="0F873233" w14:textId="77777777" w:rsidR="00A83C87" w:rsidRDefault="00A83C87" w:rsidP="00A83C87">
      <w:pPr>
        <w:spacing w:after="0" w:line="240" w:lineRule="auto"/>
        <w:jc w:val="both"/>
        <w:rPr>
          <w:rFonts w:ascii="Verdana" w:eastAsia="Times New Roman" w:hAnsi="Verdana" w:cs="Arial"/>
          <w:sz w:val="20"/>
          <w:szCs w:val="20"/>
          <w:lang w:val="es-ES" w:eastAsia="es-ES"/>
        </w:rPr>
      </w:pPr>
    </w:p>
    <w:p w14:paraId="01E8D000" w14:textId="77777777" w:rsidR="00412109" w:rsidRPr="009C60D9" w:rsidRDefault="00412109" w:rsidP="00A83C87">
      <w:pPr>
        <w:spacing w:after="0" w:line="240" w:lineRule="auto"/>
        <w:jc w:val="both"/>
        <w:rPr>
          <w:rFonts w:ascii="Verdana" w:eastAsia="Times New Roman" w:hAnsi="Verdana" w:cs="Arial"/>
          <w:sz w:val="20"/>
          <w:szCs w:val="20"/>
          <w:lang w:val="es-ES" w:eastAsia="es-ES"/>
        </w:rPr>
      </w:pPr>
    </w:p>
    <w:p w14:paraId="509D9110" w14:textId="5EF1D233" w:rsidR="00A83C87" w:rsidRPr="000E0B7B" w:rsidRDefault="00A83C87" w:rsidP="00A83C87">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83</w:t>
      </w:r>
      <w:r w:rsidRPr="000E0B7B">
        <w:rPr>
          <w:rFonts w:ascii="Verdana" w:hAnsi="Verdana"/>
          <w:sz w:val="20"/>
          <w:szCs w:val="20"/>
        </w:rPr>
        <w:t>.</w:t>
      </w:r>
    </w:p>
    <w:p w14:paraId="7EA56963" w14:textId="6720DBD9" w:rsidR="00A83C87" w:rsidRPr="00B25FDD" w:rsidRDefault="00A83C87" w:rsidP="00AD15CD">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efectos de lo estipulado en </w:t>
      </w:r>
      <w:r w:rsidR="00E73118">
        <w:rPr>
          <w:rFonts w:ascii="Verdana" w:eastAsia="Times New Roman" w:hAnsi="Verdana" w:cs="Arial"/>
          <w:sz w:val="20"/>
          <w:szCs w:val="20"/>
          <w:lang w:val="es-ES" w:eastAsia="es-ES"/>
        </w:rPr>
        <w:t>la</w:t>
      </w:r>
      <w:r w:rsidR="00E73118" w:rsidRPr="009C60D9">
        <w:rPr>
          <w:rFonts w:ascii="Verdana" w:eastAsia="Times New Roman" w:hAnsi="Verdana" w:cs="Arial"/>
          <w:sz w:val="20"/>
          <w:szCs w:val="20"/>
          <w:lang w:val="es-ES" w:eastAsia="es-ES"/>
        </w:rPr>
        <w:t xml:space="preserve"> </w:t>
      </w:r>
      <w:r w:rsidRPr="009C60D9">
        <w:rPr>
          <w:rFonts w:ascii="Verdana" w:eastAsia="Times New Roman" w:hAnsi="Verdana" w:cs="Arial"/>
          <w:sz w:val="20"/>
          <w:szCs w:val="20"/>
          <w:lang w:val="es-ES" w:eastAsia="es-ES"/>
        </w:rPr>
        <w:t xml:space="preserve">presente </w:t>
      </w:r>
      <w:r w:rsidR="00E73118">
        <w:rPr>
          <w:rFonts w:ascii="Verdana" w:eastAsia="Times New Roman" w:hAnsi="Verdana" w:cs="Arial"/>
          <w:sz w:val="20"/>
          <w:szCs w:val="20"/>
          <w:lang w:val="es-ES" w:eastAsia="es-ES"/>
        </w:rPr>
        <w:t>sección</w:t>
      </w:r>
      <w:r w:rsidR="003D057C">
        <w:rPr>
          <w:rFonts w:ascii="Verdana" w:eastAsia="Times New Roman" w:hAnsi="Verdana" w:cs="Arial"/>
          <w:sz w:val="20"/>
          <w:szCs w:val="20"/>
          <w:lang w:val="es-ES" w:eastAsia="es-ES"/>
        </w:rPr>
        <w:t>,</w:t>
      </w:r>
      <w:r w:rsidR="00E73118" w:rsidRPr="009C60D9">
        <w:rPr>
          <w:rFonts w:ascii="Verdana" w:eastAsia="Times New Roman" w:hAnsi="Verdana" w:cs="Arial"/>
          <w:sz w:val="20"/>
          <w:szCs w:val="20"/>
          <w:lang w:val="es-ES" w:eastAsia="es-ES"/>
        </w:rPr>
        <w:t xml:space="preserve"> </w:t>
      </w:r>
      <w:r w:rsidR="00CB7C7B">
        <w:rPr>
          <w:rFonts w:ascii="Verdana" w:eastAsia="Times New Roman" w:hAnsi="Verdana" w:cs="Arial"/>
          <w:sz w:val="20"/>
          <w:szCs w:val="20"/>
          <w:lang w:val="es-ES" w:eastAsia="es-ES"/>
        </w:rPr>
        <w:t xml:space="preserve">para </w:t>
      </w:r>
      <w:r w:rsidR="00094A0C">
        <w:rPr>
          <w:rFonts w:ascii="Verdana" w:eastAsia="Times New Roman" w:hAnsi="Verdana" w:cs="Arial"/>
          <w:sz w:val="20"/>
          <w:szCs w:val="20"/>
          <w:lang w:val="es-ES" w:eastAsia="es-ES"/>
        </w:rPr>
        <w:t>las</w:t>
      </w:r>
      <w:r w:rsidRPr="00AD15CD">
        <w:rPr>
          <w:rFonts w:ascii="Verdana" w:eastAsia="Times New Roman" w:hAnsi="Verdana" w:cs="Arial"/>
          <w:sz w:val="20"/>
          <w:szCs w:val="20"/>
          <w:lang w:val="es-ES" w:eastAsia="es-ES"/>
        </w:rPr>
        <w:t xml:space="preserve"> inversiones en títulos participativos del libro de tesorería, incluyendo las inversiones en acciones emitidas en el exterior y listadas en Colombia</w:t>
      </w:r>
      <w:r w:rsidR="00CB7C7B">
        <w:rPr>
          <w:rFonts w:ascii="Verdana" w:eastAsia="Times New Roman" w:hAnsi="Verdana" w:cs="Arial"/>
          <w:sz w:val="20"/>
          <w:szCs w:val="20"/>
          <w:lang w:val="es-ES" w:eastAsia="es-ES"/>
        </w:rPr>
        <w:t xml:space="preserve">, se </w:t>
      </w:r>
      <w:r w:rsidR="00CB7C7B" w:rsidRPr="009C60D9">
        <w:rPr>
          <w:rFonts w:ascii="Verdana" w:eastAsia="Times New Roman" w:hAnsi="Verdana" w:cs="Arial"/>
          <w:sz w:val="20"/>
          <w:szCs w:val="20"/>
          <w:lang w:val="es-ES" w:eastAsia="es-ES"/>
        </w:rPr>
        <w:t>debe tener en cuenta</w:t>
      </w:r>
      <w:r w:rsidR="00CB7C7B">
        <w:rPr>
          <w:rFonts w:ascii="Verdana" w:eastAsia="Times New Roman" w:hAnsi="Verdana" w:cs="Arial"/>
          <w:sz w:val="20"/>
          <w:szCs w:val="20"/>
          <w:lang w:val="es-ES" w:eastAsia="es-ES"/>
        </w:rPr>
        <w:t xml:space="preserve"> lo siguiente</w:t>
      </w:r>
      <w:r w:rsidR="006A0F0B">
        <w:rPr>
          <w:rFonts w:ascii="Verdana" w:eastAsia="Times New Roman" w:hAnsi="Verdana" w:cs="Arial"/>
          <w:sz w:val="20"/>
          <w:szCs w:val="20"/>
          <w:lang w:val="es-ES" w:eastAsia="es-ES"/>
        </w:rPr>
        <w:t>:</w:t>
      </w:r>
    </w:p>
    <w:p w14:paraId="2AC8EC09" w14:textId="77777777" w:rsidR="00A83C87" w:rsidRDefault="00A83C87" w:rsidP="00A83C87">
      <w:pPr>
        <w:spacing w:after="0" w:line="240" w:lineRule="auto"/>
        <w:ind w:left="284" w:hanging="284"/>
        <w:jc w:val="both"/>
        <w:rPr>
          <w:rFonts w:ascii="Verdana" w:eastAsia="Times New Roman" w:hAnsi="Verdana" w:cs="Arial"/>
          <w:sz w:val="20"/>
          <w:szCs w:val="20"/>
          <w:lang w:val="es-ES" w:eastAsia="es-ES"/>
        </w:rPr>
      </w:pPr>
    </w:p>
    <w:p w14:paraId="6E477F07" w14:textId="667004BC" w:rsidR="00704991" w:rsidRDefault="00A83C87" w:rsidP="00704991">
      <w:pPr>
        <w:pStyle w:val="Prrafodelista"/>
        <w:numPr>
          <w:ilvl w:val="0"/>
          <w:numId w:val="31"/>
        </w:numPr>
        <w:spacing w:after="0" w:line="240" w:lineRule="auto"/>
        <w:ind w:left="284" w:hanging="284"/>
        <w:jc w:val="both"/>
        <w:rPr>
          <w:rFonts w:ascii="Verdana" w:eastAsia="Times New Roman" w:hAnsi="Verdana" w:cs="Arial"/>
          <w:sz w:val="20"/>
          <w:szCs w:val="20"/>
          <w:lang w:val="es-ES" w:eastAsia="es-ES"/>
        </w:rPr>
      </w:pPr>
      <w:r w:rsidRPr="00704991">
        <w:rPr>
          <w:rFonts w:ascii="Verdana" w:eastAsia="Times New Roman" w:hAnsi="Verdana" w:cs="Arial"/>
          <w:sz w:val="20"/>
          <w:szCs w:val="20"/>
          <w:lang w:val="es-ES" w:eastAsia="es-ES"/>
        </w:rPr>
        <w:t>Las inversiones en títulos participativos de baja o mínima bursatilidad computan por su valor neto de provisiones ajustado por el 50% de su valorizaci</w:t>
      </w:r>
      <w:r w:rsidR="003865F9">
        <w:rPr>
          <w:rFonts w:ascii="Verdana" w:eastAsia="Times New Roman" w:hAnsi="Verdana" w:cs="Arial"/>
          <w:sz w:val="20"/>
          <w:szCs w:val="20"/>
          <w:lang w:val="es-ES" w:eastAsia="es-ES"/>
        </w:rPr>
        <w:t>ón</w:t>
      </w:r>
      <w:r w:rsidRPr="00704991">
        <w:rPr>
          <w:rFonts w:ascii="Verdana" w:eastAsia="Times New Roman" w:hAnsi="Verdana" w:cs="Arial"/>
          <w:sz w:val="20"/>
          <w:szCs w:val="20"/>
          <w:lang w:val="es-ES" w:eastAsia="es-ES"/>
        </w:rPr>
        <w:t xml:space="preserve"> y/o el 100% de su desvalorizaci</w:t>
      </w:r>
      <w:r w:rsidR="003865F9">
        <w:rPr>
          <w:rFonts w:ascii="Verdana" w:eastAsia="Times New Roman" w:hAnsi="Verdana" w:cs="Arial"/>
          <w:sz w:val="20"/>
          <w:szCs w:val="20"/>
          <w:lang w:val="es-ES" w:eastAsia="es-ES"/>
        </w:rPr>
        <w:t>ón</w:t>
      </w:r>
      <w:r w:rsidRPr="00704991">
        <w:rPr>
          <w:rFonts w:ascii="Verdana" w:eastAsia="Times New Roman" w:hAnsi="Verdana" w:cs="Arial"/>
          <w:sz w:val="20"/>
          <w:szCs w:val="20"/>
          <w:lang w:val="es-ES" w:eastAsia="es-ES"/>
        </w:rPr>
        <w:t>, según corresponda.</w:t>
      </w:r>
    </w:p>
    <w:p w14:paraId="47E12DA6" w14:textId="77777777" w:rsidR="00704991" w:rsidRPr="00704991" w:rsidRDefault="00704991" w:rsidP="00704991">
      <w:pPr>
        <w:pStyle w:val="Prrafodelista"/>
        <w:rPr>
          <w:rFonts w:ascii="Verdana" w:eastAsia="Times New Roman" w:hAnsi="Verdana" w:cs="Arial"/>
          <w:sz w:val="20"/>
          <w:szCs w:val="20"/>
          <w:lang w:val="es-ES" w:eastAsia="es-ES"/>
        </w:rPr>
      </w:pPr>
    </w:p>
    <w:p w14:paraId="191A0777" w14:textId="6E3C944B" w:rsidR="00704991" w:rsidRDefault="00BD54C7" w:rsidP="00A83C87">
      <w:pPr>
        <w:pStyle w:val="Prrafodelista"/>
        <w:numPr>
          <w:ilvl w:val="0"/>
          <w:numId w:val="31"/>
        </w:numPr>
        <w:spacing w:after="0" w:line="240" w:lineRule="auto"/>
        <w:ind w:left="284" w:hanging="284"/>
        <w:jc w:val="both"/>
        <w:rPr>
          <w:rFonts w:ascii="Verdana" w:eastAsia="Times New Roman" w:hAnsi="Verdana" w:cs="Arial"/>
          <w:sz w:val="20"/>
          <w:szCs w:val="20"/>
          <w:lang w:val="es-ES" w:eastAsia="es-ES"/>
        </w:rPr>
      </w:pPr>
      <w:r>
        <w:rPr>
          <w:rFonts w:ascii="Verdana" w:eastAsia="Times New Roman" w:hAnsi="Verdana" w:cs="Arial"/>
          <w:sz w:val="20"/>
          <w:szCs w:val="20"/>
          <w:lang w:val="es-ES" w:eastAsia="es-ES"/>
        </w:rPr>
        <w:t>L</w:t>
      </w:r>
      <w:r w:rsidR="00A83C87" w:rsidRPr="00704991">
        <w:rPr>
          <w:rFonts w:ascii="Verdana" w:eastAsia="Times New Roman" w:hAnsi="Verdana" w:cs="Arial"/>
          <w:sz w:val="20"/>
          <w:szCs w:val="20"/>
          <w:lang w:val="es-ES" w:eastAsia="es-ES"/>
        </w:rPr>
        <w:t>as inversiones disponibles para la venta en títulos participativos de alta o media bursatilidad computan por su valor a precios de mercado, ajustado por el 50% de las ganancias o pérdidas no realizadas asociadas a tales inversiones.</w:t>
      </w:r>
    </w:p>
    <w:p w14:paraId="169D1D99" w14:textId="77777777" w:rsidR="00704991" w:rsidRPr="00704991" w:rsidRDefault="00704991" w:rsidP="00704991">
      <w:pPr>
        <w:pStyle w:val="Prrafodelista"/>
        <w:rPr>
          <w:rFonts w:ascii="Verdana" w:eastAsia="Times New Roman" w:hAnsi="Verdana" w:cs="Arial"/>
          <w:sz w:val="20"/>
          <w:szCs w:val="20"/>
          <w:lang w:val="es-ES" w:eastAsia="es-ES"/>
        </w:rPr>
      </w:pPr>
    </w:p>
    <w:p w14:paraId="7798547F" w14:textId="201C6BE6" w:rsidR="00704991" w:rsidRDefault="00A83C87" w:rsidP="00A83C87">
      <w:pPr>
        <w:pStyle w:val="Prrafodelista"/>
        <w:numPr>
          <w:ilvl w:val="0"/>
          <w:numId w:val="31"/>
        </w:numPr>
        <w:spacing w:after="0" w:line="240" w:lineRule="auto"/>
        <w:ind w:left="284" w:hanging="284"/>
        <w:jc w:val="both"/>
        <w:rPr>
          <w:rFonts w:ascii="Verdana" w:eastAsia="Times New Roman" w:hAnsi="Verdana" w:cs="Arial"/>
          <w:sz w:val="20"/>
          <w:szCs w:val="20"/>
          <w:lang w:val="es-ES" w:eastAsia="es-ES"/>
        </w:rPr>
      </w:pPr>
      <w:r w:rsidRPr="00704991">
        <w:rPr>
          <w:rFonts w:ascii="Verdana" w:eastAsia="Times New Roman" w:hAnsi="Verdana" w:cs="Arial"/>
          <w:sz w:val="20"/>
          <w:szCs w:val="20"/>
          <w:lang w:val="es-ES" w:eastAsia="es-ES"/>
        </w:rPr>
        <w:t>Las inversiones no contempladas</w:t>
      </w:r>
      <w:r w:rsidR="00F62CC8">
        <w:rPr>
          <w:rFonts w:ascii="Verdana" w:eastAsia="Times New Roman" w:hAnsi="Verdana" w:cs="Arial"/>
          <w:sz w:val="20"/>
          <w:szCs w:val="20"/>
          <w:lang w:val="es-ES" w:eastAsia="es-ES"/>
        </w:rPr>
        <w:t xml:space="preserve"> en los literales </w:t>
      </w:r>
      <w:r w:rsidR="00F20CDC">
        <w:rPr>
          <w:rFonts w:ascii="Verdana" w:eastAsia="Times New Roman" w:hAnsi="Verdana" w:cs="Arial"/>
          <w:sz w:val="20"/>
          <w:szCs w:val="20"/>
          <w:lang w:val="es-ES" w:eastAsia="es-ES"/>
        </w:rPr>
        <w:t>anteriores</w:t>
      </w:r>
      <w:r w:rsidR="00F62CC8">
        <w:rPr>
          <w:rFonts w:ascii="Verdana" w:eastAsia="Times New Roman" w:hAnsi="Verdana" w:cs="Arial"/>
          <w:sz w:val="20"/>
          <w:szCs w:val="20"/>
          <w:lang w:val="es-ES" w:eastAsia="es-ES"/>
        </w:rPr>
        <w:t xml:space="preserve"> del </w:t>
      </w:r>
      <w:r w:rsidR="00FB70D3">
        <w:rPr>
          <w:rFonts w:ascii="Verdana" w:eastAsia="Times New Roman" w:hAnsi="Verdana" w:cs="Arial"/>
          <w:sz w:val="20"/>
          <w:szCs w:val="20"/>
          <w:lang w:val="es-ES" w:eastAsia="es-ES"/>
        </w:rPr>
        <w:t xml:space="preserve">presente </w:t>
      </w:r>
      <w:proofErr w:type="gramStart"/>
      <w:r w:rsidR="00F62CC8">
        <w:rPr>
          <w:rFonts w:ascii="Verdana" w:eastAsia="Times New Roman" w:hAnsi="Verdana" w:cs="Arial"/>
          <w:sz w:val="20"/>
          <w:szCs w:val="20"/>
          <w:lang w:val="es-ES" w:eastAsia="es-ES"/>
        </w:rPr>
        <w:t xml:space="preserve">párrafo </w:t>
      </w:r>
      <w:r w:rsidRPr="00704991">
        <w:rPr>
          <w:rFonts w:ascii="Verdana" w:eastAsia="Times New Roman" w:hAnsi="Verdana" w:cs="Arial"/>
          <w:sz w:val="20"/>
          <w:szCs w:val="20"/>
          <w:lang w:val="es-ES" w:eastAsia="es-ES"/>
        </w:rPr>
        <w:t xml:space="preserve"> computan</w:t>
      </w:r>
      <w:proofErr w:type="gramEnd"/>
      <w:r w:rsidRPr="00704991">
        <w:rPr>
          <w:rFonts w:ascii="Verdana" w:eastAsia="Times New Roman" w:hAnsi="Verdana" w:cs="Arial"/>
          <w:sz w:val="20"/>
          <w:szCs w:val="20"/>
          <w:lang w:val="es-ES" w:eastAsia="es-ES"/>
        </w:rPr>
        <w:t xml:space="preserve"> por su valor de acuerdo con las normas de valoración aplicables</w:t>
      </w:r>
      <w:r w:rsidR="000A1E11">
        <w:rPr>
          <w:rFonts w:ascii="Verdana" w:eastAsia="Times New Roman" w:hAnsi="Verdana" w:cs="Arial"/>
          <w:sz w:val="20"/>
          <w:szCs w:val="20"/>
          <w:lang w:val="es-ES" w:eastAsia="es-ES"/>
        </w:rPr>
        <w:t>,</w:t>
      </w:r>
      <w:r w:rsidRPr="00704991">
        <w:rPr>
          <w:rFonts w:ascii="Verdana" w:eastAsia="Times New Roman" w:hAnsi="Verdana" w:cs="Arial"/>
          <w:sz w:val="20"/>
          <w:szCs w:val="20"/>
          <w:lang w:val="es-ES" w:eastAsia="es-ES"/>
        </w:rPr>
        <w:t xml:space="preserve"> según lo dispuesto por las SFC.</w:t>
      </w:r>
    </w:p>
    <w:p w14:paraId="29EE738A" w14:textId="77777777" w:rsidR="00704991" w:rsidRPr="00704991" w:rsidRDefault="00704991" w:rsidP="00704991">
      <w:pPr>
        <w:pStyle w:val="Prrafodelista"/>
        <w:rPr>
          <w:rFonts w:ascii="Verdana" w:eastAsia="Times New Roman" w:hAnsi="Verdana" w:cs="Arial"/>
          <w:sz w:val="20"/>
          <w:szCs w:val="20"/>
          <w:lang w:val="es-ES" w:eastAsia="es-ES"/>
        </w:rPr>
      </w:pPr>
    </w:p>
    <w:p w14:paraId="0EB4880A" w14:textId="37C7D85A" w:rsidR="00704991" w:rsidRDefault="00A83C87" w:rsidP="00A83C87">
      <w:pPr>
        <w:pStyle w:val="Prrafodelista"/>
        <w:numPr>
          <w:ilvl w:val="0"/>
          <w:numId w:val="31"/>
        </w:numPr>
        <w:spacing w:after="0" w:line="240" w:lineRule="auto"/>
        <w:ind w:left="284" w:hanging="284"/>
        <w:jc w:val="both"/>
        <w:rPr>
          <w:rFonts w:ascii="Verdana" w:eastAsia="Times New Roman" w:hAnsi="Verdana" w:cs="Arial"/>
          <w:sz w:val="20"/>
          <w:szCs w:val="20"/>
          <w:lang w:val="es-ES" w:eastAsia="es-ES"/>
        </w:rPr>
      </w:pPr>
      <w:r w:rsidRPr="00704991">
        <w:rPr>
          <w:rFonts w:ascii="Verdana" w:eastAsia="Times New Roman" w:hAnsi="Verdana" w:cs="Arial"/>
          <w:sz w:val="20"/>
          <w:szCs w:val="20"/>
          <w:lang w:val="es-ES" w:eastAsia="es-ES"/>
        </w:rPr>
        <w:t>Las posiciones en derivados cuyo subyacente sean acciones, tales como</w:t>
      </w:r>
      <w:r w:rsidR="00832AC9">
        <w:rPr>
          <w:rFonts w:ascii="Verdana" w:eastAsia="Times New Roman" w:hAnsi="Verdana" w:cs="Arial"/>
          <w:sz w:val="20"/>
          <w:szCs w:val="20"/>
          <w:lang w:val="es-ES" w:eastAsia="es-ES"/>
        </w:rPr>
        <w:t>:</w:t>
      </w:r>
      <w:r w:rsidRPr="00704991">
        <w:rPr>
          <w:rFonts w:ascii="Verdana" w:eastAsia="Times New Roman" w:hAnsi="Verdana" w:cs="Arial"/>
          <w:sz w:val="20"/>
          <w:szCs w:val="20"/>
          <w:lang w:val="es-ES" w:eastAsia="es-ES"/>
        </w:rPr>
        <w:t xml:space="preserve"> futuros y forwards sobre acciones individuales o índices de acciones</w:t>
      </w:r>
      <w:r w:rsidR="00FF1F04">
        <w:rPr>
          <w:rFonts w:ascii="Verdana" w:eastAsia="Times New Roman" w:hAnsi="Verdana" w:cs="Arial"/>
          <w:sz w:val="20"/>
          <w:szCs w:val="20"/>
          <w:lang w:val="es-ES" w:eastAsia="es-ES"/>
        </w:rPr>
        <w:t xml:space="preserve">, </w:t>
      </w:r>
      <w:r w:rsidR="00FF1F04">
        <w:rPr>
          <w:rFonts w:ascii="Verdana" w:hAnsi="Verdana"/>
          <w:sz w:val="20"/>
        </w:rPr>
        <w:t>el cálculo de la exposición se debe efectuar de acuerdo con la instrucción</w:t>
      </w:r>
      <w:r w:rsidR="00275AA3">
        <w:rPr>
          <w:rFonts w:ascii="Verdana" w:hAnsi="Verdana"/>
          <w:sz w:val="20"/>
        </w:rPr>
        <w:t xml:space="preserve"> </w:t>
      </w:r>
      <w:r w:rsidR="00FF1F04">
        <w:rPr>
          <w:rFonts w:ascii="Verdana" w:hAnsi="Verdana"/>
          <w:sz w:val="20"/>
        </w:rPr>
        <w:t xml:space="preserve">del </w:t>
      </w:r>
      <w:r w:rsidR="00076AD8">
        <w:rPr>
          <w:rFonts w:ascii="Verdana" w:hAnsi="Verdana"/>
          <w:sz w:val="20"/>
        </w:rPr>
        <w:t>capítulo 5</w:t>
      </w:r>
      <w:r w:rsidR="007909E4">
        <w:rPr>
          <w:rFonts w:ascii="Verdana" w:hAnsi="Verdana"/>
          <w:sz w:val="20"/>
        </w:rPr>
        <w:t xml:space="preserve"> de la parte 3</w:t>
      </w:r>
      <w:r w:rsidR="00D776BA">
        <w:rPr>
          <w:rFonts w:ascii="Verdana" w:hAnsi="Verdana"/>
          <w:sz w:val="20"/>
        </w:rPr>
        <w:t xml:space="preserve">. </w:t>
      </w:r>
      <w:r w:rsidR="0068595E">
        <w:rPr>
          <w:rFonts w:ascii="Verdana" w:eastAsia="Times New Roman" w:hAnsi="Verdana" w:cs="Arial"/>
          <w:sz w:val="20"/>
          <w:szCs w:val="20"/>
          <w:lang w:val="es-ES" w:eastAsia="es-ES"/>
        </w:rPr>
        <w:t>T</w:t>
      </w:r>
      <w:r w:rsidR="007625A6" w:rsidRPr="00704991">
        <w:rPr>
          <w:rFonts w:ascii="Verdana" w:eastAsia="Times New Roman" w:hAnsi="Verdana" w:cs="Arial"/>
          <w:sz w:val="20"/>
          <w:szCs w:val="20"/>
          <w:lang w:val="es-ES" w:eastAsia="es-ES"/>
        </w:rPr>
        <w:t>ambién</w:t>
      </w:r>
      <w:r w:rsidR="0068595E">
        <w:rPr>
          <w:rFonts w:ascii="Verdana" w:eastAsia="Times New Roman" w:hAnsi="Verdana" w:cs="Arial"/>
          <w:sz w:val="20"/>
          <w:szCs w:val="20"/>
          <w:lang w:val="es-ES" w:eastAsia="es-ES"/>
        </w:rPr>
        <w:t>,</w:t>
      </w:r>
      <w:r w:rsidR="007625A6" w:rsidRPr="00704991">
        <w:rPr>
          <w:rFonts w:ascii="Verdana" w:eastAsia="Times New Roman" w:hAnsi="Verdana" w:cs="Arial"/>
          <w:sz w:val="20"/>
          <w:szCs w:val="20"/>
          <w:lang w:val="es-ES" w:eastAsia="es-ES"/>
        </w:rPr>
        <w:t xml:space="preserve"> </w:t>
      </w:r>
      <w:r w:rsidR="00D21296">
        <w:rPr>
          <w:rFonts w:ascii="Verdana" w:eastAsia="Times New Roman" w:hAnsi="Verdana" w:cs="Arial"/>
          <w:sz w:val="20"/>
          <w:szCs w:val="20"/>
          <w:lang w:val="es-ES" w:eastAsia="es-ES"/>
        </w:rPr>
        <w:t xml:space="preserve">se </w:t>
      </w:r>
      <w:r w:rsidRPr="00704991">
        <w:rPr>
          <w:rFonts w:ascii="Verdana" w:eastAsia="Times New Roman" w:hAnsi="Verdana" w:cs="Arial"/>
          <w:sz w:val="20"/>
          <w:szCs w:val="20"/>
          <w:lang w:val="es-ES" w:eastAsia="es-ES"/>
        </w:rPr>
        <w:t>debe</w:t>
      </w:r>
      <w:r w:rsidR="005E08C4">
        <w:rPr>
          <w:rFonts w:ascii="Verdana" w:eastAsia="Times New Roman" w:hAnsi="Verdana" w:cs="Arial"/>
          <w:sz w:val="20"/>
          <w:szCs w:val="20"/>
          <w:lang w:val="es-ES" w:eastAsia="es-ES"/>
        </w:rPr>
        <w:t>n</w:t>
      </w:r>
      <w:r w:rsidRPr="00704991">
        <w:rPr>
          <w:rFonts w:ascii="Verdana" w:eastAsia="Times New Roman" w:hAnsi="Verdana" w:cs="Arial"/>
          <w:sz w:val="20"/>
          <w:szCs w:val="20"/>
          <w:lang w:val="es-ES" w:eastAsia="es-ES"/>
        </w:rPr>
        <w:t xml:space="preserve"> con</w:t>
      </w:r>
      <w:r w:rsidR="005E08C4">
        <w:rPr>
          <w:rFonts w:ascii="Verdana" w:eastAsia="Times New Roman" w:hAnsi="Verdana" w:cs="Arial"/>
          <w:sz w:val="20"/>
          <w:szCs w:val="20"/>
          <w:lang w:val="es-ES" w:eastAsia="es-ES"/>
        </w:rPr>
        <w:t xml:space="preserve">siderar </w:t>
      </w:r>
      <w:r w:rsidRPr="00704991">
        <w:rPr>
          <w:rFonts w:ascii="Verdana" w:eastAsia="Times New Roman" w:hAnsi="Verdana" w:cs="Arial"/>
          <w:sz w:val="20"/>
          <w:szCs w:val="20"/>
          <w:lang w:val="es-ES" w:eastAsia="es-ES"/>
        </w:rPr>
        <w:t xml:space="preserve">las operaciones a plazo realizadas en las </w:t>
      </w:r>
      <w:r w:rsidR="002D6DE4">
        <w:rPr>
          <w:rFonts w:ascii="Verdana" w:eastAsia="Times New Roman" w:hAnsi="Verdana" w:cs="Arial"/>
          <w:sz w:val="20"/>
          <w:szCs w:val="20"/>
          <w:lang w:val="es-ES" w:eastAsia="es-ES"/>
        </w:rPr>
        <w:t>b</w:t>
      </w:r>
      <w:r w:rsidRPr="00704991">
        <w:rPr>
          <w:rFonts w:ascii="Verdana" w:eastAsia="Times New Roman" w:hAnsi="Verdana" w:cs="Arial"/>
          <w:sz w:val="20"/>
          <w:szCs w:val="20"/>
          <w:lang w:val="es-ES" w:eastAsia="es-ES"/>
        </w:rPr>
        <w:t xml:space="preserve">olsas de </w:t>
      </w:r>
      <w:r w:rsidR="002D6DE4">
        <w:rPr>
          <w:rFonts w:ascii="Verdana" w:eastAsia="Times New Roman" w:hAnsi="Verdana" w:cs="Arial"/>
          <w:sz w:val="20"/>
          <w:szCs w:val="20"/>
          <w:lang w:val="es-ES" w:eastAsia="es-ES"/>
        </w:rPr>
        <w:t>v</w:t>
      </w:r>
      <w:r w:rsidRPr="00704991">
        <w:rPr>
          <w:rFonts w:ascii="Verdana" w:eastAsia="Times New Roman" w:hAnsi="Verdana" w:cs="Arial"/>
          <w:sz w:val="20"/>
          <w:szCs w:val="20"/>
          <w:lang w:val="es-ES" w:eastAsia="es-ES"/>
        </w:rPr>
        <w:t>alores.</w:t>
      </w:r>
    </w:p>
    <w:p w14:paraId="3ED39B69" w14:textId="77777777" w:rsidR="00704991" w:rsidRPr="00704991" w:rsidRDefault="00704991" w:rsidP="00704991">
      <w:pPr>
        <w:pStyle w:val="Prrafodelista"/>
        <w:rPr>
          <w:rFonts w:ascii="Verdana" w:eastAsia="Times New Roman" w:hAnsi="Verdana" w:cs="Arial"/>
          <w:sz w:val="20"/>
          <w:szCs w:val="20"/>
          <w:lang w:val="es-ES" w:eastAsia="es-ES"/>
        </w:rPr>
      </w:pPr>
    </w:p>
    <w:p w14:paraId="1E7835CA" w14:textId="7642A97D" w:rsidR="00A83C87" w:rsidRPr="00704991" w:rsidRDefault="00A83C87" w:rsidP="00A83C87">
      <w:pPr>
        <w:pStyle w:val="Prrafodelista"/>
        <w:numPr>
          <w:ilvl w:val="0"/>
          <w:numId w:val="31"/>
        </w:numPr>
        <w:spacing w:after="0" w:line="240" w:lineRule="auto"/>
        <w:ind w:left="284" w:hanging="284"/>
        <w:jc w:val="both"/>
        <w:rPr>
          <w:rFonts w:ascii="Verdana" w:eastAsia="Times New Roman" w:hAnsi="Verdana" w:cs="Arial"/>
          <w:sz w:val="20"/>
          <w:szCs w:val="20"/>
          <w:lang w:val="es-ES" w:eastAsia="es-ES"/>
        </w:rPr>
      </w:pPr>
      <w:r w:rsidRPr="002D6DE4">
        <w:rPr>
          <w:rFonts w:ascii="Verdana" w:eastAsia="Times New Roman" w:hAnsi="Verdana" w:cs="Arial"/>
          <w:sz w:val="20"/>
          <w:szCs w:val="20"/>
          <w:lang w:val="es-ES" w:eastAsia="es-ES"/>
        </w:rPr>
        <w:t xml:space="preserve">Adicionalmente </w:t>
      </w:r>
      <w:r w:rsidR="000B4239">
        <w:rPr>
          <w:rFonts w:ascii="Verdana" w:eastAsia="Times New Roman" w:hAnsi="Verdana" w:cs="Arial"/>
          <w:sz w:val="20"/>
          <w:szCs w:val="20"/>
          <w:lang w:val="es-ES" w:eastAsia="es-ES"/>
        </w:rPr>
        <w:t xml:space="preserve">se </w:t>
      </w:r>
      <w:r w:rsidRPr="002D6DE4">
        <w:rPr>
          <w:rFonts w:ascii="Verdana" w:eastAsia="Times New Roman" w:hAnsi="Verdana" w:cs="Arial"/>
          <w:sz w:val="20"/>
          <w:szCs w:val="20"/>
          <w:lang w:val="es-ES" w:eastAsia="es-ES"/>
        </w:rPr>
        <w:t>deben ten</w:t>
      </w:r>
      <w:r w:rsidR="000B4239">
        <w:rPr>
          <w:rFonts w:ascii="Verdana" w:eastAsia="Times New Roman" w:hAnsi="Verdana" w:cs="Arial"/>
          <w:sz w:val="20"/>
          <w:szCs w:val="20"/>
          <w:lang w:val="es-ES" w:eastAsia="es-ES"/>
        </w:rPr>
        <w:t xml:space="preserve">er </w:t>
      </w:r>
      <w:r w:rsidRPr="002D6DE4">
        <w:rPr>
          <w:rFonts w:ascii="Verdana" w:eastAsia="Times New Roman" w:hAnsi="Verdana" w:cs="Arial"/>
          <w:sz w:val="20"/>
          <w:szCs w:val="20"/>
          <w:lang w:val="es-ES" w:eastAsia="es-ES"/>
        </w:rPr>
        <w:t>en cuenta las posiciones delta ponderadas de las opciones sobre acciones, siempre que la metodología aplicada por las entidades sea la descrita en</w:t>
      </w:r>
      <w:r w:rsidR="002D6DE4" w:rsidRPr="002D6DE4">
        <w:rPr>
          <w:rFonts w:ascii="Verdana" w:eastAsia="Times New Roman" w:hAnsi="Verdana" w:cs="Arial"/>
          <w:sz w:val="20"/>
          <w:szCs w:val="20"/>
          <w:lang w:val="es-ES" w:eastAsia="es-ES"/>
        </w:rPr>
        <w:t>tre</w:t>
      </w:r>
      <w:r w:rsidR="002D6DE4">
        <w:rPr>
          <w:rFonts w:ascii="Verdana" w:eastAsia="Times New Roman" w:hAnsi="Verdana" w:cs="Arial"/>
          <w:sz w:val="20"/>
          <w:szCs w:val="20"/>
          <w:lang w:val="es-ES" w:eastAsia="es-ES"/>
        </w:rPr>
        <w:t xml:space="preserve"> los párrafos 1.1.A8.100. y 1.1.A8.109</w:t>
      </w:r>
      <w:r w:rsidRPr="00704991">
        <w:rPr>
          <w:rFonts w:ascii="Verdana" w:eastAsia="Times New Roman" w:hAnsi="Verdana" w:cs="Arial"/>
          <w:sz w:val="20"/>
          <w:szCs w:val="20"/>
          <w:lang w:val="es-ES" w:eastAsia="es-ES"/>
        </w:rPr>
        <w:t>.</w:t>
      </w:r>
    </w:p>
    <w:p w14:paraId="04B44327" w14:textId="77777777"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p>
    <w:p w14:paraId="1280EE8F" w14:textId="4D3BC24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84</w:t>
      </w:r>
      <w:r w:rsidRPr="000E0B7B">
        <w:rPr>
          <w:rFonts w:ascii="Verdana" w:hAnsi="Verdana"/>
          <w:sz w:val="20"/>
          <w:szCs w:val="20"/>
        </w:rPr>
        <w:t>.</w:t>
      </w:r>
    </w:p>
    <w:p w14:paraId="774CB10C" w14:textId="2592381D" w:rsidR="00A83C87" w:rsidRPr="009C60D9" w:rsidRDefault="00A83C87" w:rsidP="00A83C87">
      <w:pPr>
        <w:pStyle w:val="Prrafodelista"/>
        <w:spacing w:after="0" w:line="240" w:lineRule="auto"/>
        <w:ind w:left="0"/>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Sin perjuicio de lo anterior, las siguientes inversiones </w:t>
      </w:r>
      <w:r w:rsidR="00F72CBC">
        <w:rPr>
          <w:rFonts w:ascii="Verdana" w:eastAsia="Times New Roman" w:hAnsi="Verdana" w:cs="Arial"/>
          <w:sz w:val="20"/>
          <w:szCs w:val="20"/>
          <w:lang w:val="es-ES" w:eastAsia="es-ES"/>
        </w:rPr>
        <w:t xml:space="preserve">se </w:t>
      </w:r>
      <w:r w:rsidRPr="009C60D9">
        <w:rPr>
          <w:rFonts w:ascii="Verdana" w:eastAsia="Times New Roman" w:hAnsi="Verdana" w:cs="Arial"/>
          <w:sz w:val="20"/>
          <w:szCs w:val="20"/>
          <w:lang w:val="es-ES" w:eastAsia="es-ES"/>
        </w:rPr>
        <w:t>deben excluir del cálculo de la exposición al riesgo de cambio de precio en acciones:</w:t>
      </w:r>
    </w:p>
    <w:p w14:paraId="5431160A"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7A27610F" w14:textId="77777777" w:rsidR="00A83C87" w:rsidRPr="009C60D9" w:rsidRDefault="00A83C87" w:rsidP="000017F7">
      <w:pPr>
        <w:pStyle w:val="Prrafodelista"/>
        <w:numPr>
          <w:ilvl w:val="0"/>
          <w:numId w:val="20"/>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Las inversiones en títulos participativos efectuadas en entidades sometidas a la inspección y vigilancia de la SFC, cuando se trate de entidades con respecto a las cuales haya lugar a consolidación.</w:t>
      </w:r>
    </w:p>
    <w:p w14:paraId="53C37E13"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0DC88209" w14:textId="0DC61F89" w:rsidR="00A83C87" w:rsidRPr="009C60D9" w:rsidRDefault="00A83C87" w:rsidP="000017F7">
      <w:pPr>
        <w:pStyle w:val="Prrafodelista"/>
        <w:numPr>
          <w:ilvl w:val="0"/>
          <w:numId w:val="20"/>
        </w:numPr>
        <w:spacing w:after="0" w:line="240" w:lineRule="auto"/>
        <w:ind w:left="567" w:hanging="567"/>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Las inversiones constituidas dentro de procesos de reestructuración realizados de acuerdo con la Ley 550 de 1999 o demás normas que lo sustituyan, modifiquen o subroguen. Así mismo, no </w:t>
      </w:r>
      <w:r w:rsidR="00316B0D">
        <w:rPr>
          <w:rFonts w:ascii="Verdana" w:eastAsia="Times New Roman" w:hAnsi="Verdana" w:cs="Arial"/>
          <w:sz w:val="20"/>
          <w:szCs w:val="20"/>
          <w:lang w:val="es-ES" w:eastAsia="es-ES"/>
        </w:rPr>
        <w:t xml:space="preserve">se </w:t>
      </w:r>
      <w:r w:rsidRPr="009C60D9">
        <w:rPr>
          <w:rFonts w:ascii="Verdana" w:eastAsia="Times New Roman" w:hAnsi="Verdana" w:cs="Arial"/>
          <w:sz w:val="20"/>
          <w:szCs w:val="20"/>
          <w:lang w:val="es-ES" w:eastAsia="es-ES"/>
        </w:rPr>
        <w:t>deben considerar las acciones recibidas como dación en pago mientras permanezcan clasificadas como tales</w:t>
      </w:r>
      <w:r w:rsidR="00765D98">
        <w:rPr>
          <w:rFonts w:ascii="Verdana" w:eastAsia="Times New Roman" w:hAnsi="Verdana" w:cs="Arial"/>
          <w:sz w:val="20"/>
          <w:szCs w:val="20"/>
          <w:lang w:val="es-ES" w:eastAsia="es-ES"/>
        </w:rPr>
        <w:t xml:space="preserve">, siempre que cumplan con </w:t>
      </w:r>
      <w:r w:rsidR="00ED01FD">
        <w:rPr>
          <w:rFonts w:ascii="Verdana" w:eastAsia="Times New Roman" w:hAnsi="Verdana" w:cs="Arial"/>
          <w:sz w:val="20"/>
          <w:szCs w:val="20"/>
          <w:lang w:val="es-ES" w:eastAsia="es-ES"/>
        </w:rPr>
        <w:t xml:space="preserve">las </w:t>
      </w:r>
      <w:r w:rsidR="00765D98">
        <w:rPr>
          <w:rFonts w:ascii="Verdana" w:eastAsia="Times New Roman" w:hAnsi="Verdana" w:cs="Arial"/>
          <w:sz w:val="20"/>
          <w:szCs w:val="20"/>
          <w:lang w:val="es-ES" w:eastAsia="es-ES"/>
        </w:rPr>
        <w:t xml:space="preserve">disposiciones </w:t>
      </w:r>
      <w:r w:rsidR="00E134B8">
        <w:rPr>
          <w:rFonts w:ascii="Verdana" w:eastAsia="Times New Roman" w:hAnsi="Verdana" w:cs="Arial"/>
          <w:sz w:val="20"/>
          <w:szCs w:val="20"/>
          <w:lang w:val="es-ES" w:eastAsia="es-ES"/>
        </w:rPr>
        <w:t xml:space="preserve">normativas </w:t>
      </w:r>
      <w:r w:rsidR="00765D98">
        <w:rPr>
          <w:rFonts w:ascii="Verdana" w:eastAsia="Times New Roman" w:hAnsi="Verdana" w:cs="Arial"/>
          <w:sz w:val="20"/>
          <w:szCs w:val="20"/>
          <w:lang w:val="es-ES" w:eastAsia="es-ES"/>
        </w:rPr>
        <w:t>aplicables</w:t>
      </w:r>
      <w:r w:rsidRPr="009C60D9">
        <w:rPr>
          <w:rFonts w:ascii="Verdana" w:eastAsia="Times New Roman" w:hAnsi="Verdana" w:cs="Arial"/>
          <w:sz w:val="20"/>
          <w:szCs w:val="20"/>
          <w:lang w:val="es-ES" w:eastAsia="es-ES"/>
        </w:rPr>
        <w:t>.</w:t>
      </w:r>
    </w:p>
    <w:p w14:paraId="603152A8"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3EFCE074" w14:textId="280D4C03" w:rsidR="00A83C87" w:rsidRPr="00704991" w:rsidRDefault="00A83C87" w:rsidP="00704991">
      <w:pPr>
        <w:pStyle w:val="Prrafodelista"/>
        <w:numPr>
          <w:ilvl w:val="0"/>
          <w:numId w:val="27"/>
        </w:numPr>
        <w:ind w:left="284" w:hanging="284"/>
        <w:jc w:val="both"/>
        <w:rPr>
          <w:rFonts w:ascii="Verdana" w:eastAsia="Times New Roman" w:hAnsi="Verdana" w:cs="Arial"/>
          <w:sz w:val="20"/>
          <w:szCs w:val="20"/>
          <w:lang w:val="es-ES" w:eastAsia="es-ES"/>
        </w:rPr>
      </w:pPr>
      <w:r w:rsidRPr="00704991">
        <w:rPr>
          <w:rFonts w:ascii="Verdana" w:hAnsi="Verdana"/>
          <w:b/>
          <w:bCs/>
          <w:sz w:val="20"/>
          <w:szCs w:val="20"/>
        </w:rPr>
        <w:t>Cálculo del riesgo de precio de acciones</w:t>
      </w:r>
    </w:p>
    <w:p w14:paraId="063BA593" w14:textId="465DC02D" w:rsidR="00A83C87" w:rsidRPr="000E0B7B" w:rsidRDefault="00A83C87" w:rsidP="00A83C87">
      <w:pPr>
        <w:spacing w:after="0"/>
        <w:rPr>
          <w:rFonts w:ascii="Verdana" w:hAnsi="Verdana"/>
          <w:sz w:val="20"/>
          <w:szCs w:val="20"/>
        </w:rPr>
      </w:pPr>
      <w:bookmarkStart w:id="0" w:name="_Hlk189835838"/>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85</w:t>
      </w:r>
      <w:r w:rsidRPr="000E0B7B">
        <w:rPr>
          <w:rFonts w:ascii="Verdana" w:hAnsi="Verdana"/>
          <w:sz w:val="20"/>
          <w:szCs w:val="20"/>
        </w:rPr>
        <w:t>.</w:t>
      </w:r>
    </w:p>
    <w:bookmarkEnd w:id="0"/>
    <w:p w14:paraId="394BAD4D"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El cálculo de riesgo de precio de acciones busca capturar el riesgo asociado a movimientos adversos en el mercado accionario y corresponde a la suma de las posiciones netas ponderadas en cada acción. Con el fin de tener en cuenta las distintas sensibilidades de los precios de acciones particulares a movimientos en el índice del mercado, la posición neta ponderada de cada acción corresponde al producto de 2 componentes:</w:t>
      </w:r>
    </w:p>
    <w:p w14:paraId="274445F4"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013C7976" w14:textId="77777777" w:rsidR="00A83C87" w:rsidRPr="000E3C21" w:rsidRDefault="00A83C87" w:rsidP="000017F7">
      <w:pPr>
        <w:pStyle w:val="Prrafodelista"/>
        <w:numPr>
          <w:ilvl w:val="0"/>
          <w:numId w:val="21"/>
        </w:numPr>
        <w:spacing w:after="0" w:line="240" w:lineRule="auto"/>
        <w:ind w:left="567" w:hanging="567"/>
        <w:jc w:val="both"/>
        <w:rPr>
          <w:rFonts w:ascii="Verdana" w:eastAsia="Times New Roman" w:hAnsi="Verdana" w:cs="Arial"/>
          <w:sz w:val="20"/>
          <w:szCs w:val="20"/>
          <w:lang w:val="es-ES" w:eastAsia="es-ES"/>
        </w:rPr>
      </w:pPr>
      <w:r w:rsidRPr="000E3C21">
        <w:rPr>
          <w:rFonts w:ascii="Verdana" w:eastAsia="Times New Roman" w:hAnsi="Verdana" w:cs="Arial"/>
          <w:sz w:val="20"/>
          <w:szCs w:val="20"/>
          <w:lang w:val="es-ES" w:eastAsia="es-ES"/>
        </w:rPr>
        <w:t>La posición neta en cada acción.</w:t>
      </w:r>
    </w:p>
    <w:p w14:paraId="080C52DA"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5BD32466" w14:textId="24F589BE" w:rsidR="00A83C87" w:rsidRPr="000E3C21" w:rsidRDefault="00A83C87" w:rsidP="000017F7">
      <w:pPr>
        <w:pStyle w:val="Prrafodelista"/>
        <w:numPr>
          <w:ilvl w:val="0"/>
          <w:numId w:val="21"/>
        </w:numPr>
        <w:spacing w:after="0" w:line="240" w:lineRule="auto"/>
        <w:ind w:left="567" w:hanging="567"/>
        <w:jc w:val="both"/>
        <w:rPr>
          <w:rFonts w:ascii="Verdana" w:eastAsia="Times New Roman" w:hAnsi="Verdana" w:cs="Arial"/>
          <w:sz w:val="20"/>
          <w:szCs w:val="20"/>
          <w:lang w:val="es-ES" w:eastAsia="es-ES"/>
        </w:rPr>
      </w:pPr>
      <w:r w:rsidRPr="000E3C21">
        <w:rPr>
          <w:rFonts w:ascii="Verdana" w:eastAsia="Times New Roman" w:hAnsi="Verdana" w:cs="Arial"/>
          <w:sz w:val="20"/>
          <w:szCs w:val="20"/>
          <w:lang w:val="es-ES" w:eastAsia="es-ES"/>
        </w:rPr>
        <w:t xml:space="preserve">El factor de sensibilidad al riesgo general de acciones definido en la </w:t>
      </w:r>
      <w:r w:rsidR="000433EA">
        <w:rPr>
          <w:rFonts w:ascii="Verdana" w:eastAsia="Times New Roman" w:hAnsi="Verdana" w:cs="Arial"/>
          <w:sz w:val="20"/>
          <w:szCs w:val="20"/>
          <w:lang w:val="es-ES" w:eastAsia="es-ES"/>
        </w:rPr>
        <w:t>t</w:t>
      </w:r>
      <w:r w:rsidRPr="000E3C21">
        <w:rPr>
          <w:rFonts w:ascii="Verdana" w:eastAsia="Times New Roman" w:hAnsi="Verdana" w:cs="Arial"/>
          <w:sz w:val="20"/>
          <w:szCs w:val="20"/>
          <w:lang w:val="es-ES" w:eastAsia="es-ES"/>
        </w:rPr>
        <w:t>abla 2.</w:t>
      </w:r>
    </w:p>
    <w:p w14:paraId="4E285307"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7C062056" w14:textId="2CF985F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86</w:t>
      </w:r>
      <w:r w:rsidRPr="000E0B7B">
        <w:rPr>
          <w:rFonts w:ascii="Verdana" w:hAnsi="Verdana"/>
          <w:sz w:val="20"/>
          <w:szCs w:val="20"/>
        </w:rPr>
        <w:t>.</w:t>
      </w:r>
    </w:p>
    <w:p w14:paraId="1213798F"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calcular la exposición al riesgo de precio de acciones de un mercado accionario en particular, se deben sumar los valores absolutos de las posiciones netas ponderadas en acciones del respectivo mercado.</w:t>
      </w:r>
    </w:p>
    <w:p w14:paraId="102B0F3C"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EF431AF" w14:textId="3F51C9AE"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87</w:t>
      </w:r>
      <w:r w:rsidRPr="000E0B7B">
        <w:rPr>
          <w:rFonts w:ascii="Verdana" w:hAnsi="Verdana"/>
          <w:sz w:val="20"/>
          <w:szCs w:val="20"/>
        </w:rPr>
        <w:t>.</w:t>
      </w:r>
    </w:p>
    <w:p w14:paraId="5922EBF3" w14:textId="6585DAEF"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Para los casos en que la entidad tenga posiciones en más de un mercado accionario, el componente de riesgo general debe ser calculado separadamente para cada mercado. Para mercados de acciones distintos a la Bolsa de Valores de Colombia S.A., el factor de riesgo aplicable debe ser calculado por la entidad como el percentil 5 de las variaciones observadas, para un horizonte de tenencia de 20 días hábiles de negociación, en el índice representativo de dicho mercado. Para esta estimación la entidad debe utilizar un periodo correspondiente a los últimos 5 años de historia, y deberá ser actualizado de forma que la última observación utilizada en el cálculo se encuentre en los 3 meses anteriores a la fecha del cálculo de la exposición a los riesgos de mercado</w:t>
      </w:r>
      <w:r w:rsidR="0041618E">
        <w:rPr>
          <w:rFonts w:ascii="Verdana" w:eastAsia="Times New Roman" w:hAnsi="Verdana" w:cs="Arial"/>
          <w:sz w:val="20"/>
          <w:szCs w:val="20"/>
          <w:lang w:val="es-ES" w:eastAsia="es-ES"/>
        </w:rPr>
        <w:t>.</w:t>
      </w:r>
    </w:p>
    <w:p w14:paraId="38A0531D" w14:textId="77777777" w:rsidR="00412109" w:rsidRDefault="00412109" w:rsidP="00A83C87">
      <w:pPr>
        <w:spacing w:after="0" w:line="240" w:lineRule="auto"/>
        <w:jc w:val="both"/>
        <w:rPr>
          <w:rFonts w:ascii="Verdana" w:eastAsia="Times New Roman" w:hAnsi="Verdana" w:cs="Arial"/>
          <w:sz w:val="20"/>
          <w:szCs w:val="20"/>
          <w:lang w:val="es-ES" w:eastAsia="es-ES"/>
        </w:rPr>
      </w:pPr>
    </w:p>
    <w:p w14:paraId="6956B543" w14:textId="154CB02A"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88</w:t>
      </w:r>
      <w:r w:rsidRPr="000E0B7B">
        <w:rPr>
          <w:rFonts w:ascii="Verdana" w:hAnsi="Verdana"/>
          <w:sz w:val="20"/>
          <w:szCs w:val="20"/>
        </w:rPr>
        <w:t>.</w:t>
      </w:r>
    </w:p>
    <w:p w14:paraId="3E74ACE6" w14:textId="33AAF399"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Pa</w:t>
      </w:r>
      <w:r w:rsidRPr="00106073">
        <w:rPr>
          <w:rFonts w:ascii="Verdana" w:eastAsia="Times New Roman" w:hAnsi="Verdana" w:cs="Arial"/>
          <w:sz w:val="20"/>
          <w:szCs w:val="20"/>
          <w:lang w:val="es-ES" w:eastAsia="es-ES"/>
        </w:rPr>
        <w:t xml:space="preserve">ra efectos </w:t>
      </w:r>
      <w:r w:rsidR="00BA64FD" w:rsidRPr="00106073">
        <w:rPr>
          <w:rFonts w:ascii="Verdana" w:eastAsia="Times New Roman" w:hAnsi="Verdana" w:cs="Arial"/>
          <w:sz w:val="20"/>
          <w:szCs w:val="20"/>
          <w:lang w:val="es-ES" w:eastAsia="es-ES"/>
        </w:rPr>
        <w:t>de lo previsto entre los párrafos 1.1.A8.</w:t>
      </w:r>
      <w:r w:rsidR="00106073" w:rsidRPr="00106073">
        <w:rPr>
          <w:rFonts w:ascii="Verdana" w:eastAsia="Times New Roman" w:hAnsi="Verdana" w:cs="Arial"/>
          <w:sz w:val="20"/>
          <w:szCs w:val="20"/>
          <w:lang w:val="es-ES" w:eastAsia="es-ES"/>
        </w:rPr>
        <w:t xml:space="preserve">85. y 1.1.A8.88. </w:t>
      </w:r>
      <w:r w:rsidRPr="00106073">
        <w:rPr>
          <w:rFonts w:ascii="Verdana" w:eastAsia="Times New Roman" w:hAnsi="Verdana" w:cs="Arial"/>
          <w:sz w:val="20"/>
          <w:szCs w:val="20"/>
          <w:lang w:val="es-ES" w:eastAsia="es-ES"/>
        </w:rPr>
        <w:t>debe entenderse por mercado accionario aquel</w:t>
      </w:r>
      <w:r w:rsidRPr="009C60D9">
        <w:rPr>
          <w:rFonts w:ascii="Verdana" w:eastAsia="Times New Roman" w:hAnsi="Verdana" w:cs="Arial"/>
          <w:sz w:val="20"/>
          <w:szCs w:val="20"/>
          <w:lang w:val="es-ES" w:eastAsia="es-ES"/>
        </w:rPr>
        <w:t xml:space="preserve"> sistema de negociación de valores en el cual se negocien acciones, bien sea este nacional o extranjero.  </w:t>
      </w:r>
    </w:p>
    <w:p w14:paraId="1D19BA11"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501EAA62" w14:textId="518D1C96" w:rsidR="00A83C87" w:rsidRPr="00704991" w:rsidRDefault="00A83C87" w:rsidP="00704991">
      <w:pPr>
        <w:pStyle w:val="Prrafodelista"/>
        <w:numPr>
          <w:ilvl w:val="0"/>
          <w:numId w:val="27"/>
        </w:numPr>
        <w:ind w:left="284" w:hanging="284"/>
        <w:jc w:val="both"/>
        <w:rPr>
          <w:rFonts w:ascii="Verdana" w:eastAsia="Times New Roman" w:hAnsi="Verdana" w:cs="Arial"/>
          <w:sz w:val="20"/>
          <w:szCs w:val="20"/>
          <w:lang w:val="es-ES" w:eastAsia="es-ES"/>
        </w:rPr>
      </w:pPr>
      <w:r w:rsidRPr="00704991">
        <w:rPr>
          <w:rFonts w:ascii="Verdana" w:hAnsi="Verdana"/>
          <w:b/>
          <w:bCs/>
          <w:sz w:val="20"/>
          <w:szCs w:val="20"/>
        </w:rPr>
        <w:t xml:space="preserve">Determinación </w:t>
      </w:r>
      <w:r w:rsidR="00070957">
        <w:rPr>
          <w:rFonts w:ascii="Verdana" w:hAnsi="Verdana"/>
          <w:b/>
          <w:bCs/>
          <w:sz w:val="20"/>
          <w:szCs w:val="20"/>
        </w:rPr>
        <w:t xml:space="preserve">de la </w:t>
      </w:r>
      <w:r w:rsidRPr="00704991">
        <w:rPr>
          <w:rFonts w:ascii="Verdana" w:hAnsi="Verdana"/>
          <w:b/>
          <w:bCs/>
          <w:sz w:val="20"/>
          <w:szCs w:val="20"/>
        </w:rPr>
        <w:t>exposición total</w:t>
      </w:r>
    </w:p>
    <w:p w14:paraId="437B5256" w14:textId="4CB123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89</w:t>
      </w:r>
      <w:r w:rsidRPr="000E0B7B">
        <w:rPr>
          <w:rFonts w:ascii="Verdana" w:hAnsi="Verdana"/>
          <w:sz w:val="20"/>
          <w:szCs w:val="20"/>
        </w:rPr>
        <w:t>.</w:t>
      </w:r>
    </w:p>
    <w:p w14:paraId="6D1273D2" w14:textId="6492B2F2" w:rsidR="00A83C87" w:rsidRPr="009C60D9" w:rsidRDefault="00A83C87" w:rsidP="00A83C87">
      <w:pPr>
        <w:spacing w:after="0" w:line="240" w:lineRule="auto"/>
        <w:jc w:val="both"/>
        <w:rPr>
          <w:rFonts w:ascii="Verdana" w:eastAsia="Times New Roman" w:hAnsi="Verdana" w:cs="Arial"/>
          <w:sz w:val="20"/>
          <w:szCs w:val="20"/>
          <w:lang w:val="es-ES" w:eastAsia="es-ES"/>
        </w:rPr>
      </w:pPr>
      <w:r w:rsidRPr="009C60D9">
        <w:rPr>
          <w:rFonts w:ascii="Verdana" w:eastAsia="Times New Roman" w:hAnsi="Verdana" w:cs="Arial"/>
          <w:sz w:val="20"/>
          <w:szCs w:val="20"/>
          <w:lang w:val="es-ES" w:eastAsia="es-ES"/>
        </w:rPr>
        <w:t xml:space="preserve">Para el cálculo de la exposición al riesgo de precio de acciones deben sumarse los valores correspondientes al riesgo para cada mercado de acciones en que participe la entidad de acuerdo con lo estipulado </w:t>
      </w:r>
      <w:r w:rsidR="00EF6BA4" w:rsidRPr="00106073">
        <w:rPr>
          <w:rFonts w:ascii="Verdana" w:eastAsia="Times New Roman" w:hAnsi="Verdana" w:cs="Arial"/>
          <w:sz w:val="20"/>
          <w:szCs w:val="20"/>
          <w:lang w:val="es-ES" w:eastAsia="es-ES"/>
        </w:rPr>
        <w:t>entre los párrafos 1.1.A8.85. y 1.1.A8.88.</w:t>
      </w:r>
      <w:r w:rsidRPr="009C60D9">
        <w:rPr>
          <w:rFonts w:ascii="Verdana" w:eastAsia="Times New Roman" w:hAnsi="Verdana" w:cs="Arial"/>
          <w:sz w:val="20"/>
          <w:szCs w:val="20"/>
          <w:lang w:val="es-ES" w:eastAsia="es-ES"/>
        </w:rPr>
        <w:t xml:space="preserve"> Adicionalmente deben añadirse, cuando correspondan, los siguientes cargos correspondientes a las posiciones en opciones:</w:t>
      </w:r>
    </w:p>
    <w:p w14:paraId="77F24389"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2415CF8A" w14:textId="64A9E4C9" w:rsidR="00A83C87" w:rsidRPr="00D72DB8" w:rsidRDefault="00A83C87" w:rsidP="000017F7">
      <w:pPr>
        <w:pStyle w:val="Prrafodelista"/>
        <w:numPr>
          <w:ilvl w:val="0"/>
          <w:numId w:val="22"/>
        </w:numPr>
        <w:spacing w:after="0" w:line="240" w:lineRule="auto"/>
        <w:ind w:left="567" w:hanging="567"/>
        <w:jc w:val="both"/>
        <w:rPr>
          <w:rFonts w:ascii="Verdana" w:eastAsia="Times New Roman" w:hAnsi="Verdana" w:cs="Arial"/>
          <w:sz w:val="20"/>
          <w:szCs w:val="20"/>
          <w:lang w:val="es-ES" w:eastAsia="es-ES"/>
        </w:rPr>
      </w:pPr>
      <w:r w:rsidRPr="00D72DB8">
        <w:rPr>
          <w:rFonts w:ascii="Verdana" w:eastAsia="Times New Roman" w:hAnsi="Verdana" w:cs="Arial"/>
          <w:sz w:val="20"/>
          <w:szCs w:val="20"/>
          <w:lang w:val="es-ES" w:eastAsia="es-ES"/>
        </w:rPr>
        <w:t xml:space="preserve">Para las entidades elegibles para la aproximación simplificada de tratamiento de </w:t>
      </w:r>
      <w:r w:rsidRPr="00446F10">
        <w:rPr>
          <w:rFonts w:ascii="Verdana" w:eastAsia="Times New Roman" w:hAnsi="Verdana" w:cs="Arial"/>
          <w:sz w:val="20"/>
          <w:szCs w:val="20"/>
          <w:lang w:val="es-ES" w:eastAsia="es-ES"/>
        </w:rPr>
        <w:t xml:space="preserve">opciones descrita </w:t>
      </w:r>
      <w:r w:rsidR="00B17B3B" w:rsidRPr="00446F10">
        <w:rPr>
          <w:rFonts w:ascii="Verdana" w:eastAsia="Times New Roman" w:hAnsi="Verdana" w:cs="Arial"/>
          <w:sz w:val="20"/>
          <w:szCs w:val="20"/>
          <w:lang w:val="es-ES" w:eastAsia="es-ES"/>
        </w:rPr>
        <w:t>entre los párrafos 1.1.A8.98</w:t>
      </w:r>
      <w:r w:rsidR="00446F10" w:rsidRPr="00446F10">
        <w:rPr>
          <w:rFonts w:ascii="Verdana" w:eastAsia="Times New Roman" w:hAnsi="Verdana" w:cs="Arial"/>
          <w:sz w:val="20"/>
          <w:szCs w:val="20"/>
          <w:lang w:val="es-ES" w:eastAsia="es-ES"/>
        </w:rPr>
        <w:t>. y 1.1.A8.99.</w:t>
      </w:r>
      <w:r w:rsidRPr="00446F10">
        <w:rPr>
          <w:rFonts w:ascii="Verdana" w:eastAsia="Times New Roman" w:hAnsi="Verdana" w:cs="Arial"/>
          <w:sz w:val="20"/>
          <w:szCs w:val="20"/>
          <w:lang w:val="es-ES" w:eastAsia="es-ES"/>
        </w:rPr>
        <w:t>, la exposición resultante de las posiciones en opciones sobre accione</w:t>
      </w:r>
      <w:r w:rsidRPr="00D72DB8">
        <w:rPr>
          <w:rFonts w:ascii="Verdana" w:eastAsia="Times New Roman" w:hAnsi="Verdana" w:cs="Arial"/>
          <w:sz w:val="20"/>
          <w:szCs w:val="20"/>
          <w:lang w:val="es-ES" w:eastAsia="es-ES"/>
        </w:rPr>
        <w:t>s, o</w:t>
      </w:r>
    </w:p>
    <w:p w14:paraId="73C7A2D8" w14:textId="77777777" w:rsidR="00A83C87" w:rsidRPr="009C60D9" w:rsidRDefault="00A83C87" w:rsidP="00A83C87">
      <w:pPr>
        <w:spacing w:after="0" w:line="240" w:lineRule="auto"/>
        <w:ind w:left="567" w:hanging="567"/>
        <w:jc w:val="both"/>
        <w:rPr>
          <w:rFonts w:ascii="Verdana" w:eastAsia="Times New Roman" w:hAnsi="Verdana" w:cs="Arial"/>
          <w:sz w:val="20"/>
          <w:szCs w:val="20"/>
          <w:lang w:val="es-ES" w:eastAsia="es-ES"/>
        </w:rPr>
      </w:pPr>
    </w:p>
    <w:p w14:paraId="4CBF1DC5" w14:textId="2E31A41B" w:rsidR="00A83C87" w:rsidRPr="00D72DB8" w:rsidRDefault="00A83C87" w:rsidP="000017F7">
      <w:pPr>
        <w:pStyle w:val="Prrafodelista"/>
        <w:numPr>
          <w:ilvl w:val="0"/>
          <w:numId w:val="22"/>
        </w:numPr>
        <w:spacing w:after="0" w:line="240" w:lineRule="auto"/>
        <w:ind w:left="567" w:hanging="567"/>
        <w:jc w:val="both"/>
        <w:rPr>
          <w:rFonts w:ascii="Verdana" w:eastAsia="Times New Roman" w:hAnsi="Verdana" w:cs="Arial"/>
          <w:sz w:val="20"/>
          <w:szCs w:val="20"/>
          <w:lang w:val="es-ES" w:eastAsia="es-ES"/>
        </w:rPr>
      </w:pPr>
      <w:r w:rsidRPr="00D72DB8">
        <w:rPr>
          <w:rFonts w:ascii="Verdana" w:eastAsia="Times New Roman" w:hAnsi="Verdana" w:cs="Arial"/>
          <w:sz w:val="20"/>
          <w:szCs w:val="20"/>
          <w:lang w:val="es-ES" w:eastAsia="es-ES"/>
        </w:rPr>
        <w:t xml:space="preserve">Para las entidades que deban aplicar la metodología intermedia descrita </w:t>
      </w:r>
      <w:r w:rsidR="00446F10" w:rsidRPr="00446F10">
        <w:rPr>
          <w:rFonts w:ascii="Verdana" w:eastAsia="Times New Roman" w:hAnsi="Verdana" w:cs="Arial"/>
          <w:sz w:val="20"/>
          <w:szCs w:val="20"/>
          <w:lang w:val="es-ES" w:eastAsia="es-ES"/>
        </w:rPr>
        <w:t>entre los párrafos 1.1.A8.</w:t>
      </w:r>
      <w:r w:rsidR="00446F10">
        <w:rPr>
          <w:rFonts w:ascii="Verdana" w:eastAsia="Times New Roman" w:hAnsi="Verdana" w:cs="Arial"/>
          <w:sz w:val="20"/>
          <w:szCs w:val="20"/>
          <w:lang w:val="es-ES" w:eastAsia="es-ES"/>
        </w:rPr>
        <w:t>100</w:t>
      </w:r>
      <w:r w:rsidR="00446F10" w:rsidRPr="00446F10">
        <w:rPr>
          <w:rFonts w:ascii="Verdana" w:eastAsia="Times New Roman" w:hAnsi="Verdana" w:cs="Arial"/>
          <w:sz w:val="20"/>
          <w:szCs w:val="20"/>
          <w:lang w:val="es-ES" w:eastAsia="es-ES"/>
        </w:rPr>
        <w:t>. y 1.1.A8.</w:t>
      </w:r>
      <w:r w:rsidR="00446F10">
        <w:rPr>
          <w:rFonts w:ascii="Verdana" w:eastAsia="Times New Roman" w:hAnsi="Verdana" w:cs="Arial"/>
          <w:sz w:val="20"/>
          <w:szCs w:val="20"/>
          <w:lang w:val="es-ES" w:eastAsia="es-ES"/>
        </w:rPr>
        <w:t>10</w:t>
      </w:r>
      <w:r w:rsidR="00446F10" w:rsidRPr="00446F10">
        <w:rPr>
          <w:rFonts w:ascii="Verdana" w:eastAsia="Times New Roman" w:hAnsi="Verdana" w:cs="Arial"/>
          <w:sz w:val="20"/>
          <w:szCs w:val="20"/>
          <w:lang w:val="es-ES" w:eastAsia="es-ES"/>
        </w:rPr>
        <w:t>9.</w:t>
      </w:r>
      <w:r w:rsidRPr="00D72DB8">
        <w:rPr>
          <w:rFonts w:ascii="Verdana" w:eastAsia="Times New Roman" w:hAnsi="Verdana" w:cs="Arial"/>
          <w:sz w:val="20"/>
          <w:szCs w:val="20"/>
          <w:lang w:val="es-ES" w:eastAsia="es-ES"/>
        </w:rPr>
        <w:t>, los cargos correspondientes a los riesgos Gamma y Vega de dichas opciones.</w:t>
      </w:r>
    </w:p>
    <w:p w14:paraId="5AE5FE95" w14:textId="77777777" w:rsidR="00A83C87" w:rsidRPr="009C60D9" w:rsidRDefault="00A83C87" w:rsidP="00A83C87">
      <w:pPr>
        <w:spacing w:after="0" w:line="240" w:lineRule="auto"/>
        <w:jc w:val="both"/>
        <w:rPr>
          <w:rFonts w:ascii="Verdana" w:eastAsia="Times New Roman" w:hAnsi="Verdana" w:cs="Arial"/>
          <w:sz w:val="20"/>
          <w:szCs w:val="20"/>
          <w:lang w:val="es-ES" w:eastAsia="es-ES"/>
        </w:rPr>
      </w:pPr>
    </w:p>
    <w:p w14:paraId="4464892C" w14:textId="77777777" w:rsidR="00A83C87" w:rsidRPr="009C60D9" w:rsidRDefault="00A83C87" w:rsidP="00A83C87">
      <w:pPr>
        <w:spacing w:after="0" w:line="240" w:lineRule="auto"/>
        <w:jc w:val="center"/>
        <w:rPr>
          <w:rFonts w:ascii="Verdana" w:eastAsia="Times New Roman" w:hAnsi="Verdana" w:cs="Arial"/>
          <w:b/>
          <w:sz w:val="20"/>
          <w:szCs w:val="20"/>
          <w:lang w:val="es-ES" w:eastAsia="es-ES"/>
        </w:rPr>
      </w:pPr>
      <w:r w:rsidRPr="009C60D9">
        <w:rPr>
          <w:rFonts w:ascii="Verdana" w:eastAsia="Times New Roman" w:hAnsi="Verdana" w:cs="Arial"/>
          <w:b/>
          <w:sz w:val="20"/>
          <w:szCs w:val="20"/>
          <w:lang w:val="es-ES" w:eastAsia="es-ES"/>
        </w:rPr>
        <w:t>Tabla 2</w:t>
      </w:r>
    </w:p>
    <w:p w14:paraId="4A87F1E2" w14:textId="77777777" w:rsidR="00704991" w:rsidRDefault="00704991" w:rsidP="00A83C87">
      <w:pPr>
        <w:spacing w:after="0" w:line="240" w:lineRule="auto"/>
        <w:jc w:val="center"/>
        <w:rPr>
          <w:rFonts w:ascii="Verdana" w:eastAsia="Times New Roman" w:hAnsi="Verdana" w:cs="Arial"/>
          <w:b/>
          <w:sz w:val="20"/>
          <w:szCs w:val="20"/>
          <w:lang w:val="es-ES" w:eastAsia="es-ES"/>
        </w:rPr>
      </w:pPr>
    </w:p>
    <w:p w14:paraId="7830C1A6" w14:textId="279EB4A4" w:rsidR="00A83C87" w:rsidRPr="00704991" w:rsidRDefault="00A83C87" w:rsidP="00704991">
      <w:pPr>
        <w:spacing w:after="0" w:line="240" w:lineRule="auto"/>
        <w:jc w:val="center"/>
        <w:rPr>
          <w:rFonts w:ascii="Verdana" w:eastAsia="Times New Roman" w:hAnsi="Verdana" w:cs="Arial"/>
          <w:b/>
          <w:sz w:val="20"/>
          <w:szCs w:val="20"/>
          <w:lang w:val="es-ES" w:eastAsia="es-ES"/>
        </w:rPr>
      </w:pPr>
      <w:r w:rsidRPr="009C60D9">
        <w:rPr>
          <w:rFonts w:ascii="Verdana" w:eastAsia="Times New Roman" w:hAnsi="Verdana" w:cs="Arial"/>
          <w:b/>
          <w:sz w:val="20"/>
          <w:szCs w:val="20"/>
          <w:lang w:val="es-ES" w:eastAsia="es-ES"/>
        </w:rPr>
        <w:t>Factores de Sensibilidad para el Cálculo de Riesgos de Tasa de Cambio y de Precio de Acciones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00"/>
        <w:gridCol w:w="2892"/>
      </w:tblGrid>
      <w:tr w:rsidR="00A83C87" w:rsidRPr="009C60D9" w14:paraId="472447FE" w14:textId="77777777" w:rsidTr="00EB32AE">
        <w:trPr>
          <w:trHeight w:val="361"/>
          <w:jc w:val="center"/>
        </w:trPr>
        <w:tc>
          <w:tcPr>
            <w:tcW w:w="4900" w:type="dxa"/>
            <w:shd w:val="clear" w:color="auto" w:fill="D1D1D1" w:themeFill="background2" w:themeFillShade="E6"/>
            <w:vAlign w:val="center"/>
          </w:tcPr>
          <w:p w14:paraId="0181E8D5" w14:textId="77777777" w:rsidR="00A83C87" w:rsidRPr="00EB32AE" w:rsidRDefault="00A83C87">
            <w:pPr>
              <w:spacing w:after="0" w:line="240" w:lineRule="auto"/>
              <w:jc w:val="center"/>
              <w:rPr>
                <w:rFonts w:ascii="Verdana" w:eastAsia="Times New Roman" w:hAnsi="Verdana" w:cs="Arial"/>
                <w:b/>
                <w:bCs/>
                <w:color w:val="000000"/>
                <w:kern w:val="0"/>
                <w:sz w:val="16"/>
                <w:szCs w:val="16"/>
                <w:lang w:eastAsia="es-CO"/>
                <w14:ligatures w14:val="none"/>
              </w:rPr>
            </w:pPr>
            <w:r w:rsidRPr="00EB32AE">
              <w:rPr>
                <w:rFonts w:ascii="Verdana" w:eastAsia="Times New Roman" w:hAnsi="Verdana" w:cs="Arial"/>
                <w:b/>
                <w:bCs/>
                <w:color w:val="000000"/>
                <w:kern w:val="0"/>
                <w:sz w:val="16"/>
                <w:szCs w:val="16"/>
                <w:lang w:eastAsia="es-CO"/>
                <w14:ligatures w14:val="none"/>
              </w:rPr>
              <w:t>Moneda</w:t>
            </w:r>
          </w:p>
        </w:tc>
        <w:tc>
          <w:tcPr>
            <w:tcW w:w="2892" w:type="dxa"/>
            <w:shd w:val="clear" w:color="auto" w:fill="D1D1D1" w:themeFill="background2" w:themeFillShade="E6"/>
            <w:vAlign w:val="center"/>
          </w:tcPr>
          <w:p w14:paraId="6FCDD9AA" w14:textId="77777777" w:rsidR="00A83C87" w:rsidRPr="00EB32AE" w:rsidRDefault="00A83C87">
            <w:pPr>
              <w:spacing w:after="0" w:line="240" w:lineRule="auto"/>
              <w:jc w:val="center"/>
              <w:rPr>
                <w:rFonts w:ascii="Verdana" w:eastAsia="Times New Roman" w:hAnsi="Verdana" w:cs="Arial"/>
                <w:b/>
                <w:bCs/>
                <w:color w:val="000000"/>
                <w:kern w:val="0"/>
                <w:sz w:val="16"/>
                <w:szCs w:val="16"/>
                <w:lang w:eastAsia="es-CO"/>
                <w14:ligatures w14:val="none"/>
              </w:rPr>
            </w:pPr>
            <w:r w:rsidRPr="00EB32AE">
              <w:rPr>
                <w:rFonts w:ascii="Verdana" w:eastAsia="Times New Roman" w:hAnsi="Verdana" w:cs="Arial"/>
                <w:b/>
                <w:bCs/>
                <w:color w:val="000000"/>
                <w:kern w:val="0"/>
                <w:sz w:val="16"/>
                <w:szCs w:val="16"/>
                <w:lang w:eastAsia="es-CO"/>
                <w14:ligatures w14:val="none"/>
              </w:rPr>
              <w:t>Factor de Sensibilidad</w:t>
            </w:r>
          </w:p>
        </w:tc>
      </w:tr>
      <w:tr w:rsidR="00A83C87" w:rsidRPr="009C60D9" w14:paraId="57F786B5" w14:textId="77777777">
        <w:trPr>
          <w:trHeight w:val="58"/>
          <w:jc w:val="center"/>
        </w:trPr>
        <w:tc>
          <w:tcPr>
            <w:tcW w:w="4900" w:type="dxa"/>
            <w:noWrap/>
            <w:vAlign w:val="bottom"/>
          </w:tcPr>
          <w:p w14:paraId="55EABC9B"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Dólar de Estados Unidos de Norteamérica</w:t>
            </w:r>
          </w:p>
        </w:tc>
        <w:tc>
          <w:tcPr>
            <w:tcW w:w="2892" w:type="dxa"/>
            <w:noWrap/>
            <w:vAlign w:val="bottom"/>
          </w:tcPr>
          <w:p w14:paraId="29525E47"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12.49%</w:t>
            </w:r>
          </w:p>
        </w:tc>
      </w:tr>
      <w:tr w:rsidR="00A83C87" w:rsidRPr="009C60D9" w14:paraId="034F0F80" w14:textId="77777777">
        <w:trPr>
          <w:trHeight w:val="129"/>
          <w:jc w:val="center"/>
        </w:trPr>
        <w:tc>
          <w:tcPr>
            <w:tcW w:w="4900" w:type="dxa"/>
            <w:noWrap/>
            <w:vAlign w:val="bottom"/>
          </w:tcPr>
          <w:p w14:paraId="4DF7C171"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Euro</w:t>
            </w:r>
          </w:p>
        </w:tc>
        <w:tc>
          <w:tcPr>
            <w:tcW w:w="2892" w:type="dxa"/>
            <w:noWrap/>
            <w:vAlign w:val="bottom"/>
          </w:tcPr>
          <w:p w14:paraId="34C4F746"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11%</w:t>
            </w:r>
          </w:p>
        </w:tc>
      </w:tr>
      <w:tr w:rsidR="00A83C87" w:rsidRPr="009C60D9" w14:paraId="7DD5FE70" w14:textId="77777777">
        <w:trPr>
          <w:trHeight w:val="216"/>
          <w:jc w:val="center"/>
        </w:trPr>
        <w:tc>
          <w:tcPr>
            <w:tcW w:w="4900" w:type="dxa"/>
            <w:noWrap/>
            <w:vAlign w:val="bottom"/>
          </w:tcPr>
          <w:p w14:paraId="0B125787"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Otras monedas</w:t>
            </w:r>
          </w:p>
        </w:tc>
        <w:tc>
          <w:tcPr>
            <w:tcW w:w="2892" w:type="dxa"/>
            <w:noWrap/>
            <w:vAlign w:val="bottom"/>
          </w:tcPr>
          <w:p w14:paraId="59B48819"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13.02%</w:t>
            </w:r>
          </w:p>
        </w:tc>
      </w:tr>
      <w:tr w:rsidR="00A83C87" w:rsidRPr="009C60D9" w14:paraId="680037A7" w14:textId="77777777">
        <w:trPr>
          <w:trHeight w:val="216"/>
          <w:jc w:val="center"/>
        </w:trPr>
        <w:tc>
          <w:tcPr>
            <w:tcW w:w="4900" w:type="dxa"/>
            <w:noWrap/>
            <w:vAlign w:val="bottom"/>
          </w:tcPr>
          <w:p w14:paraId="158EF7AA"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Riesgo general precio de acciones</w:t>
            </w:r>
          </w:p>
        </w:tc>
        <w:tc>
          <w:tcPr>
            <w:tcW w:w="2892" w:type="dxa"/>
            <w:noWrap/>
            <w:vAlign w:val="bottom"/>
          </w:tcPr>
          <w:p w14:paraId="28BFFAAB" w14:textId="77777777" w:rsidR="00A83C87" w:rsidRPr="00EB32AE" w:rsidRDefault="00A83C87" w:rsidP="00EB32AE">
            <w:pPr>
              <w:spacing w:after="0" w:line="240" w:lineRule="auto"/>
              <w:jc w:val="center"/>
              <w:rPr>
                <w:rFonts w:ascii="Verdana" w:eastAsia="Times New Roman" w:hAnsi="Verdana" w:cs="Arial"/>
                <w:color w:val="000000"/>
                <w:kern w:val="0"/>
                <w:sz w:val="16"/>
                <w:szCs w:val="16"/>
                <w:lang w:eastAsia="es-CO"/>
                <w14:ligatures w14:val="none"/>
              </w:rPr>
            </w:pPr>
            <w:r w:rsidRPr="00EB32AE">
              <w:rPr>
                <w:rFonts w:ascii="Verdana" w:eastAsia="Times New Roman" w:hAnsi="Verdana" w:cs="Arial"/>
                <w:color w:val="000000"/>
                <w:kern w:val="0"/>
                <w:sz w:val="16"/>
                <w:szCs w:val="16"/>
                <w:lang w:eastAsia="es-CO"/>
                <w14:ligatures w14:val="none"/>
              </w:rPr>
              <w:t>9.1.%</w:t>
            </w:r>
          </w:p>
        </w:tc>
      </w:tr>
    </w:tbl>
    <w:p w14:paraId="6B63F116"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7424B6A6" w14:textId="1B25479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C2129A">
        <w:rPr>
          <w:rFonts w:ascii="Verdana" w:hAnsi="Verdana"/>
          <w:sz w:val="20"/>
          <w:szCs w:val="20"/>
        </w:rPr>
        <w:t>90</w:t>
      </w:r>
      <w:r w:rsidRPr="000E0B7B">
        <w:rPr>
          <w:rFonts w:ascii="Verdana" w:hAnsi="Verdana"/>
          <w:sz w:val="20"/>
          <w:szCs w:val="20"/>
        </w:rPr>
        <w:t>.</w:t>
      </w:r>
    </w:p>
    <w:p w14:paraId="3F80009B" w14:textId="39BE1C79"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Los factores consignados en la </w:t>
      </w:r>
      <w:r w:rsidR="00B17231">
        <w:rPr>
          <w:rFonts w:ascii="Verdana" w:eastAsia="Times New Roman" w:hAnsi="Verdana" w:cs="Arial"/>
          <w:snapToGrid w:val="0"/>
          <w:sz w:val="20"/>
          <w:szCs w:val="20"/>
          <w:lang w:val="es-MX" w:eastAsia="es-ES"/>
        </w:rPr>
        <w:t>t</w:t>
      </w:r>
      <w:r w:rsidRPr="009C60D9">
        <w:rPr>
          <w:rFonts w:ascii="Verdana" w:eastAsia="Times New Roman" w:hAnsi="Verdana" w:cs="Arial"/>
          <w:snapToGrid w:val="0"/>
          <w:sz w:val="20"/>
          <w:szCs w:val="20"/>
          <w:lang w:val="es-MX" w:eastAsia="es-ES"/>
        </w:rPr>
        <w:t>abla 2 serán revisados por la SFC y podrán ser modificados si ésta considera que los niveles establecidos no reflejan apropiadamente la sensibilidad de las posiciones expuestas a los riesgos allí contemplados.</w:t>
      </w:r>
    </w:p>
    <w:p w14:paraId="2CA40F5B"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3A47F3B5" w14:textId="0E84AD61" w:rsidR="00A83C87" w:rsidRPr="009C60D9" w:rsidRDefault="00A83C87" w:rsidP="00F63A78">
      <w:pPr>
        <w:jc w:val="both"/>
        <w:rPr>
          <w:rFonts w:ascii="Verdana" w:eastAsia="Times New Roman" w:hAnsi="Verdana" w:cs="Arial"/>
          <w:snapToGrid w:val="0"/>
          <w:sz w:val="20"/>
          <w:szCs w:val="20"/>
          <w:lang w:val="es-MX" w:eastAsia="es-ES"/>
        </w:rPr>
      </w:pPr>
      <w:r w:rsidRPr="000017F7">
        <w:rPr>
          <w:rFonts w:ascii="Verdana" w:hAnsi="Verdana"/>
          <w:b/>
          <w:bCs/>
          <w:sz w:val="20"/>
          <w:szCs w:val="20"/>
        </w:rPr>
        <w:t>Riesgo en inversiones realizadas en FIC</w:t>
      </w:r>
    </w:p>
    <w:p w14:paraId="755D435D" w14:textId="0B421D7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91</w:t>
      </w:r>
      <w:r w:rsidRPr="000E0B7B">
        <w:rPr>
          <w:rFonts w:ascii="Verdana" w:hAnsi="Verdana"/>
          <w:sz w:val="20"/>
          <w:szCs w:val="20"/>
        </w:rPr>
        <w:t>.</w:t>
      </w:r>
    </w:p>
    <w:p w14:paraId="15EE341C" w14:textId="4D573283"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Para las inversiones en FIC, es decir, para fondos comunes de inversión, fondos de valores y fondos de inversión la exposición a riesgos de mercado de las entidades es calculada como el producto entre el factor de riesgo aplicable a dicho fondo y la posición invertida en él. El factor de riesgo aplicable corresponde a:</w:t>
      </w:r>
    </w:p>
    <w:p w14:paraId="6E51CA3F"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52C8B5F1" w14:textId="4927E16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92</w:t>
      </w:r>
      <w:r w:rsidRPr="000E0B7B">
        <w:rPr>
          <w:rFonts w:ascii="Verdana" w:hAnsi="Verdana"/>
          <w:sz w:val="20"/>
          <w:szCs w:val="20"/>
        </w:rPr>
        <w:t>.</w:t>
      </w:r>
    </w:p>
    <w:p w14:paraId="78F8BD7B" w14:textId="016BFFF6"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Cuando la sociedad administradora del FIC reporte a la entidad adherente o suscriptora</w:t>
      </w:r>
      <w:r>
        <w:rPr>
          <w:rFonts w:ascii="Verdana" w:eastAsia="Times New Roman" w:hAnsi="Verdana" w:cs="Arial"/>
          <w:snapToGrid w:val="0"/>
          <w:sz w:val="20"/>
          <w:szCs w:val="20"/>
          <w:lang w:val="es-MX" w:eastAsia="es-ES"/>
        </w:rPr>
        <w:t xml:space="preserve"> </w:t>
      </w:r>
      <w:r w:rsidRPr="009C60D9">
        <w:rPr>
          <w:rFonts w:ascii="Verdana" w:eastAsia="Times New Roman" w:hAnsi="Verdana" w:cs="Arial"/>
          <w:snapToGrid w:val="0"/>
          <w:sz w:val="20"/>
          <w:szCs w:val="20"/>
          <w:lang w:val="es-MX" w:eastAsia="es-ES"/>
        </w:rPr>
        <w:t xml:space="preserve">la composición del portafolio de inversión de </w:t>
      </w:r>
      <w:proofErr w:type="gramStart"/>
      <w:r w:rsidRPr="009C60D9">
        <w:rPr>
          <w:rFonts w:ascii="Verdana" w:eastAsia="Times New Roman" w:hAnsi="Verdana" w:cs="Arial"/>
          <w:snapToGrid w:val="0"/>
          <w:sz w:val="20"/>
          <w:szCs w:val="20"/>
          <w:lang w:val="es-MX" w:eastAsia="es-ES"/>
        </w:rPr>
        <w:t>la misma</w:t>
      </w:r>
      <w:proofErr w:type="gramEnd"/>
      <w:r w:rsidRPr="009C60D9">
        <w:rPr>
          <w:rFonts w:ascii="Verdana" w:eastAsia="Times New Roman" w:hAnsi="Verdana" w:cs="Arial"/>
          <w:snapToGrid w:val="0"/>
          <w:sz w:val="20"/>
          <w:szCs w:val="20"/>
          <w:lang w:val="es-MX" w:eastAsia="es-ES"/>
        </w:rPr>
        <w:t>, la exposición a riesgos de mercad</w:t>
      </w:r>
      <w:r w:rsidRPr="001F413E">
        <w:rPr>
          <w:rFonts w:ascii="Verdana" w:eastAsia="Times New Roman" w:hAnsi="Verdana" w:cs="Arial"/>
          <w:snapToGrid w:val="0"/>
          <w:sz w:val="20"/>
          <w:szCs w:val="20"/>
          <w:lang w:val="es-MX" w:eastAsia="es-ES"/>
        </w:rPr>
        <w:t xml:space="preserve">o deberá ser calculada por la entidad adherente </w:t>
      </w:r>
      <w:proofErr w:type="gramStart"/>
      <w:r w:rsidRPr="001F413E">
        <w:rPr>
          <w:rFonts w:ascii="Verdana" w:eastAsia="Times New Roman" w:hAnsi="Verdana" w:cs="Arial"/>
          <w:snapToGrid w:val="0"/>
          <w:sz w:val="20"/>
          <w:szCs w:val="20"/>
          <w:lang w:val="es-MX" w:eastAsia="es-ES"/>
        </w:rPr>
        <w:t>de acuerdo a</w:t>
      </w:r>
      <w:proofErr w:type="gramEnd"/>
      <w:r w:rsidRPr="001F413E">
        <w:rPr>
          <w:rFonts w:ascii="Verdana" w:eastAsia="Times New Roman" w:hAnsi="Verdana" w:cs="Arial"/>
          <w:snapToGrid w:val="0"/>
          <w:sz w:val="20"/>
          <w:szCs w:val="20"/>
          <w:lang w:val="es-MX" w:eastAsia="es-ES"/>
        </w:rPr>
        <w:t xml:space="preserve"> las disposiciones impartidas en</w:t>
      </w:r>
      <w:r w:rsidR="001F413E" w:rsidRPr="001F413E">
        <w:rPr>
          <w:rFonts w:ascii="Verdana" w:eastAsia="Times New Roman" w:hAnsi="Verdana" w:cs="Arial"/>
          <w:snapToGrid w:val="0"/>
          <w:sz w:val="20"/>
          <w:szCs w:val="20"/>
          <w:lang w:val="es-MX" w:eastAsia="es-ES"/>
        </w:rPr>
        <w:t>tre</w:t>
      </w:r>
      <w:r w:rsidR="001F413E">
        <w:rPr>
          <w:rFonts w:ascii="Verdana" w:eastAsia="Times New Roman" w:hAnsi="Verdana" w:cs="Arial"/>
          <w:snapToGrid w:val="0"/>
          <w:sz w:val="20"/>
          <w:szCs w:val="20"/>
          <w:lang w:val="es-MX" w:eastAsia="es-ES"/>
        </w:rPr>
        <w:t xml:space="preserve"> los párrafos 1.1.A8.2. y 1.1.A8.116.</w:t>
      </w:r>
    </w:p>
    <w:p w14:paraId="798A1D34"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428F481B" w14:textId="2EB69A8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93</w:t>
      </w:r>
      <w:r w:rsidRPr="000E0B7B">
        <w:rPr>
          <w:rFonts w:ascii="Verdana" w:hAnsi="Verdana"/>
          <w:sz w:val="20"/>
          <w:szCs w:val="20"/>
        </w:rPr>
        <w:t>.</w:t>
      </w:r>
    </w:p>
    <w:p w14:paraId="0DCE0329" w14:textId="27474095"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El factor de riesgo del FiC corresponde a la razón entre esta exposición y el valor del portafolio en la correspondiente fecha de cálculo. Sin perjuicio de lo anterior, este factor de riesgo puede ser utilizado para el cálculo de la exposición a riesgos de mercado de la entidad adherente o suscriptora por un periodo de hasta treinta días, contados a partir de la última fecha de cálculo</w:t>
      </w:r>
      <w:r>
        <w:rPr>
          <w:rFonts w:ascii="Verdana" w:eastAsia="Times New Roman" w:hAnsi="Verdana" w:cs="Arial"/>
          <w:snapToGrid w:val="0"/>
          <w:sz w:val="20"/>
          <w:szCs w:val="20"/>
          <w:lang w:val="es-MX" w:eastAsia="es-ES"/>
        </w:rPr>
        <w:t>.</w:t>
      </w:r>
    </w:p>
    <w:p w14:paraId="335BFD15" w14:textId="77777777" w:rsidR="00A83C87" w:rsidRPr="009C60D9" w:rsidRDefault="00A83C87" w:rsidP="00A83C87">
      <w:pPr>
        <w:spacing w:after="0" w:line="240" w:lineRule="auto"/>
        <w:ind w:left="284" w:hanging="284"/>
        <w:jc w:val="both"/>
        <w:rPr>
          <w:rFonts w:ascii="Verdana" w:eastAsia="Times New Roman" w:hAnsi="Verdana" w:cs="Arial"/>
          <w:snapToGrid w:val="0"/>
          <w:sz w:val="20"/>
          <w:szCs w:val="20"/>
          <w:lang w:val="es-MX" w:eastAsia="es-ES"/>
        </w:rPr>
      </w:pPr>
    </w:p>
    <w:p w14:paraId="6B08E984" w14:textId="2E5256D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94</w:t>
      </w:r>
      <w:r w:rsidRPr="000E0B7B">
        <w:rPr>
          <w:rFonts w:ascii="Verdana" w:hAnsi="Verdana"/>
          <w:sz w:val="20"/>
          <w:szCs w:val="20"/>
        </w:rPr>
        <w:t>.</w:t>
      </w:r>
    </w:p>
    <w:p w14:paraId="4FF35374" w14:textId="39750C43"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Cuando la sociedad administradora del FIC reporte a la entidad adherente o suscriptora la exposición a riesgos de mercado del Fondo de Inversión Colectiva</w:t>
      </w:r>
      <w:r w:rsidR="00E3755C">
        <w:rPr>
          <w:rFonts w:ascii="Verdana" w:eastAsia="Times New Roman" w:hAnsi="Verdana" w:cs="Arial"/>
          <w:snapToGrid w:val="0"/>
          <w:sz w:val="20"/>
          <w:szCs w:val="20"/>
          <w:lang w:val="es-MX" w:eastAsia="es-ES"/>
        </w:rPr>
        <w:t xml:space="preserve"> (FIC)</w:t>
      </w:r>
      <w:r w:rsidRPr="009C60D9">
        <w:rPr>
          <w:rFonts w:ascii="Verdana" w:eastAsia="Times New Roman" w:hAnsi="Verdana" w:cs="Arial"/>
          <w:snapToGrid w:val="0"/>
          <w:sz w:val="20"/>
          <w:szCs w:val="20"/>
          <w:lang w:val="es-MX" w:eastAsia="es-ES"/>
        </w:rPr>
        <w:t xml:space="preserve">, calculada de acuerdo con las disposiciones impartidas </w:t>
      </w:r>
      <w:r w:rsidR="00E3755C" w:rsidRPr="001F413E">
        <w:rPr>
          <w:rFonts w:ascii="Verdana" w:eastAsia="Times New Roman" w:hAnsi="Verdana" w:cs="Arial"/>
          <w:snapToGrid w:val="0"/>
          <w:sz w:val="20"/>
          <w:szCs w:val="20"/>
          <w:lang w:val="es-MX" w:eastAsia="es-ES"/>
        </w:rPr>
        <w:t>entre</w:t>
      </w:r>
      <w:r w:rsidR="00E3755C">
        <w:rPr>
          <w:rFonts w:ascii="Verdana" w:eastAsia="Times New Roman" w:hAnsi="Verdana" w:cs="Arial"/>
          <w:snapToGrid w:val="0"/>
          <w:sz w:val="20"/>
          <w:szCs w:val="20"/>
          <w:lang w:val="es-MX" w:eastAsia="es-ES"/>
        </w:rPr>
        <w:t xml:space="preserve"> los párrafos 1.1.A8.2. y 1.1.A8.116.</w:t>
      </w:r>
      <w:r w:rsidRPr="009C60D9">
        <w:rPr>
          <w:rFonts w:ascii="Verdana" w:eastAsia="Times New Roman" w:hAnsi="Verdana" w:cs="Arial"/>
          <w:snapToGrid w:val="0"/>
          <w:sz w:val="20"/>
          <w:szCs w:val="20"/>
          <w:lang w:val="es-MX" w:eastAsia="es-ES"/>
        </w:rPr>
        <w:t xml:space="preserve">, el factor de riesgo de dicho </w:t>
      </w:r>
      <w:r w:rsidR="000D1CE7">
        <w:rPr>
          <w:rFonts w:ascii="Verdana" w:eastAsia="Times New Roman" w:hAnsi="Verdana" w:cs="Arial"/>
          <w:snapToGrid w:val="0"/>
          <w:sz w:val="20"/>
          <w:szCs w:val="20"/>
          <w:lang w:val="es-MX" w:eastAsia="es-ES"/>
        </w:rPr>
        <w:t>f</w:t>
      </w:r>
      <w:r w:rsidRPr="009C60D9">
        <w:rPr>
          <w:rFonts w:ascii="Verdana" w:eastAsia="Times New Roman" w:hAnsi="Verdana" w:cs="Arial"/>
          <w:snapToGrid w:val="0"/>
          <w:sz w:val="20"/>
          <w:szCs w:val="20"/>
          <w:lang w:val="es-MX" w:eastAsia="es-ES"/>
        </w:rPr>
        <w:t>ondo corresponderá a la razón entre esta exposición y el valor del portafolio a la respectiva fecha de cálculo. Sin perjuicio de lo anterior, este factor de riesgo puede ser utilizado para el cálculo de la exposición a riesgos de mercado de la entidad adherente o suscriptora por un periodo de hasta 30 días, contados a partir de la última fecha de cálcul</w:t>
      </w:r>
      <w:r>
        <w:rPr>
          <w:rFonts w:ascii="Verdana" w:eastAsia="Times New Roman" w:hAnsi="Verdana" w:cs="Arial"/>
          <w:snapToGrid w:val="0"/>
          <w:sz w:val="20"/>
          <w:szCs w:val="20"/>
          <w:lang w:val="es-MX" w:eastAsia="es-ES"/>
        </w:rPr>
        <w:t>o.</w:t>
      </w:r>
    </w:p>
    <w:p w14:paraId="44D57590" w14:textId="77777777" w:rsidR="00A83C87" w:rsidRDefault="00A83C87" w:rsidP="00A83C87">
      <w:pPr>
        <w:spacing w:after="0" w:line="240" w:lineRule="auto"/>
        <w:jc w:val="both"/>
        <w:rPr>
          <w:rFonts w:ascii="Verdana" w:eastAsia="Times New Roman" w:hAnsi="Verdana" w:cs="Arial"/>
          <w:snapToGrid w:val="0"/>
          <w:sz w:val="20"/>
          <w:szCs w:val="20"/>
          <w:lang w:val="es-MX" w:eastAsia="es-ES"/>
        </w:rPr>
      </w:pPr>
    </w:p>
    <w:p w14:paraId="673D6E75" w14:textId="77777777" w:rsidR="00412109" w:rsidRPr="009C60D9" w:rsidRDefault="00412109" w:rsidP="00A83C87">
      <w:pPr>
        <w:spacing w:after="0" w:line="240" w:lineRule="auto"/>
        <w:jc w:val="both"/>
        <w:rPr>
          <w:rFonts w:ascii="Verdana" w:eastAsia="Times New Roman" w:hAnsi="Verdana" w:cs="Arial"/>
          <w:snapToGrid w:val="0"/>
          <w:sz w:val="20"/>
          <w:szCs w:val="20"/>
          <w:lang w:val="es-MX" w:eastAsia="es-ES"/>
        </w:rPr>
      </w:pPr>
    </w:p>
    <w:p w14:paraId="4C0BE8C8" w14:textId="55B1584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9</w:t>
      </w:r>
      <w:r w:rsidR="00F367DC">
        <w:rPr>
          <w:rFonts w:ascii="Verdana" w:hAnsi="Verdana"/>
          <w:sz w:val="20"/>
          <w:szCs w:val="20"/>
        </w:rPr>
        <w:t>5</w:t>
      </w:r>
      <w:r w:rsidRPr="000E0B7B">
        <w:rPr>
          <w:rFonts w:ascii="Verdana" w:hAnsi="Verdana"/>
          <w:sz w:val="20"/>
          <w:szCs w:val="20"/>
        </w:rPr>
        <w:t>.</w:t>
      </w:r>
    </w:p>
    <w:p w14:paraId="7FEE27D4" w14:textId="52863BD0"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En los demás casos, el factor de riesgo aplicable es igual al establecido en la </w:t>
      </w:r>
      <w:r w:rsidR="000D1CE7">
        <w:rPr>
          <w:rFonts w:ascii="Verdana" w:eastAsia="Times New Roman" w:hAnsi="Verdana" w:cs="Arial"/>
          <w:snapToGrid w:val="0"/>
          <w:sz w:val="20"/>
          <w:szCs w:val="20"/>
          <w:lang w:val="es-MX" w:eastAsia="es-ES"/>
        </w:rPr>
        <w:t>t</w:t>
      </w:r>
      <w:r w:rsidRPr="009C60D9">
        <w:rPr>
          <w:rFonts w:ascii="Verdana" w:eastAsia="Times New Roman" w:hAnsi="Verdana" w:cs="Arial"/>
          <w:snapToGrid w:val="0"/>
          <w:sz w:val="20"/>
          <w:szCs w:val="20"/>
          <w:lang w:val="es-MX" w:eastAsia="es-ES"/>
        </w:rPr>
        <w:t xml:space="preserve">abla 2 para el riesgo general precio de acciones, es decir el cargo asociado a las posiciones más riesgosas contempladas en el modelo estándar (acciones). </w:t>
      </w:r>
    </w:p>
    <w:p w14:paraId="6E7AF4C9" w14:textId="77777777" w:rsidR="00A83C87" w:rsidRDefault="00A83C87" w:rsidP="00A83C87">
      <w:pPr>
        <w:spacing w:after="0" w:line="240" w:lineRule="auto"/>
        <w:contextualSpacing/>
        <w:jc w:val="both"/>
        <w:rPr>
          <w:rFonts w:ascii="Verdana" w:eastAsia="Times New Roman" w:hAnsi="Verdana" w:cs="Arial"/>
          <w:snapToGrid w:val="0"/>
          <w:sz w:val="20"/>
          <w:szCs w:val="20"/>
          <w:lang w:val="es-MX" w:eastAsia="es-ES"/>
        </w:rPr>
      </w:pPr>
    </w:p>
    <w:p w14:paraId="7043BC3F" w14:textId="1615DDF4" w:rsidR="00A83C87" w:rsidRPr="00703F38" w:rsidRDefault="00A83C87" w:rsidP="00F63A78">
      <w:pPr>
        <w:jc w:val="both"/>
        <w:rPr>
          <w:rFonts w:ascii="Verdana" w:eastAsia="Times New Roman" w:hAnsi="Verdana" w:cs="Arial"/>
          <w:snapToGrid w:val="0"/>
          <w:sz w:val="20"/>
          <w:szCs w:val="20"/>
          <w:lang w:val="es-ES" w:eastAsia="es-ES"/>
        </w:rPr>
      </w:pPr>
      <w:r w:rsidRPr="000017F7">
        <w:rPr>
          <w:rFonts w:ascii="Verdana" w:hAnsi="Verdana"/>
          <w:b/>
          <w:bCs/>
          <w:sz w:val="20"/>
          <w:szCs w:val="20"/>
        </w:rPr>
        <w:t>Tratamiento de las posiciones en opciones</w:t>
      </w:r>
    </w:p>
    <w:p w14:paraId="7199A901" w14:textId="6243EC3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96</w:t>
      </w:r>
      <w:r w:rsidRPr="000E0B7B">
        <w:rPr>
          <w:rFonts w:ascii="Verdana" w:hAnsi="Verdana"/>
          <w:sz w:val="20"/>
          <w:szCs w:val="20"/>
        </w:rPr>
        <w:t>.</w:t>
      </w:r>
    </w:p>
    <w:p w14:paraId="2EF58FC3"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Las entidades de las que trata el presente anexo deben seguir una de 2 aproximaciones que se describen a continuación para incorporar sus posiciones en opciones en el cálculo de los requerimientos de capital por riesgos de mercado. </w:t>
      </w:r>
    </w:p>
    <w:p w14:paraId="1D99042F"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12423879" w14:textId="233BAFD7"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97</w:t>
      </w:r>
      <w:r w:rsidRPr="000E0B7B">
        <w:rPr>
          <w:rFonts w:ascii="Verdana" w:hAnsi="Verdana"/>
          <w:sz w:val="20"/>
          <w:szCs w:val="20"/>
        </w:rPr>
        <w:t>.</w:t>
      </w:r>
    </w:p>
    <w:p w14:paraId="0B0E03F2" w14:textId="633DFB9D" w:rsidR="00A83C87"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Para los casos en que la entidad tenga registradas solamente posiciones largas en opciones, puede utilizar la aproximación simplificada descrita </w:t>
      </w:r>
      <w:r w:rsidR="00B57DC9">
        <w:rPr>
          <w:rFonts w:ascii="Verdana" w:eastAsia="Times New Roman" w:hAnsi="Verdana" w:cs="Arial"/>
          <w:snapToGrid w:val="0"/>
          <w:sz w:val="20"/>
          <w:szCs w:val="20"/>
          <w:lang w:val="es-MX" w:eastAsia="es-ES"/>
        </w:rPr>
        <w:t>entre los párrafos 1.1.A8.98. y 1.1.A8.99</w:t>
      </w:r>
      <w:r w:rsidRPr="009C60D9">
        <w:rPr>
          <w:rFonts w:ascii="Verdana" w:eastAsia="Times New Roman" w:hAnsi="Verdana" w:cs="Arial"/>
          <w:snapToGrid w:val="0"/>
          <w:sz w:val="20"/>
          <w:szCs w:val="20"/>
          <w:lang w:val="es-MX" w:eastAsia="es-ES"/>
        </w:rPr>
        <w:t xml:space="preserve">. Aquellas entidades que posean posiciones cortas en opciones deben utilizar la aproximación intermedia descrita </w:t>
      </w:r>
      <w:r w:rsidR="00B57DC9">
        <w:rPr>
          <w:rFonts w:ascii="Verdana" w:eastAsia="Times New Roman" w:hAnsi="Verdana" w:cs="Arial"/>
          <w:snapToGrid w:val="0"/>
          <w:sz w:val="20"/>
          <w:szCs w:val="20"/>
          <w:lang w:val="es-MX" w:eastAsia="es-ES"/>
        </w:rPr>
        <w:t>entre los párrafos 1.1.A8.100. y 1.1.A8.109.</w:t>
      </w:r>
    </w:p>
    <w:p w14:paraId="53057A5F" w14:textId="77777777" w:rsidR="00B57DC9" w:rsidRPr="009C60D9" w:rsidRDefault="00B57DC9" w:rsidP="00A83C87">
      <w:pPr>
        <w:spacing w:after="0" w:line="240" w:lineRule="auto"/>
        <w:jc w:val="both"/>
        <w:rPr>
          <w:rFonts w:ascii="Verdana" w:eastAsia="Times New Roman" w:hAnsi="Verdana" w:cs="Arial"/>
          <w:snapToGrid w:val="0"/>
          <w:sz w:val="20"/>
          <w:szCs w:val="20"/>
          <w:lang w:val="es-MX" w:eastAsia="es-ES"/>
        </w:rPr>
      </w:pPr>
    </w:p>
    <w:p w14:paraId="0678C4F7" w14:textId="718E2F13" w:rsidR="00A83C87" w:rsidRPr="00704991" w:rsidRDefault="00A83C87" w:rsidP="00704991">
      <w:pPr>
        <w:pStyle w:val="Prrafodelista"/>
        <w:numPr>
          <w:ilvl w:val="0"/>
          <w:numId w:val="27"/>
        </w:numPr>
        <w:ind w:left="284" w:hanging="284"/>
        <w:jc w:val="both"/>
        <w:rPr>
          <w:rFonts w:ascii="Verdana" w:eastAsia="Times New Roman" w:hAnsi="Verdana" w:cs="Arial"/>
          <w:snapToGrid w:val="0"/>
          <w:sz w:val="20"/>
          <w:szCs w:val="20"/>
          <w:lang w:val="es-MX" w:eastAsia="es-ES"/>
        </w:rPr>
      </w:pPr>
      <w:r w:rsidRPr="00704991">
        <w:rPr>
          <w:rFonts w:ascii="Verdana" w:hAnsi="Verdana"/>
          <w:b/>
          <w:bCs/>
          <w:sz w:val="20"/>
          <w:szCs w:val="20"/>
        </w:rPr>
        <w:t>Aproximación simplificada</w:t>
      </w:r>
    </w:p>
    <w:p w14:paraId="6228F326" w14:textId="5D32811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98</w:t>
      </w:r>
      <w:r w:rsidRPr="000E0B7B">
        <w:rPr>
          <w:rFonts w:ascii="Verdana" w:hAnsi="Verdana"/>
          <w:sz w:val="20"/>
          <w:szCs w:val="20"/>
        </w:rPr>
        <w:t>.</w:t>
      </w:r>
    </w:p>
    <w:p w14:paraId="5804D437"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En la aproximación simplificada, la exposición a los riesgos de mercado corresponde a la suma de las exposiciones individuales calculadas como el menor valor entre:</w:t>
      </w:r>
    </w:p>
    <w:p w14:paraId="4C4E32E6"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6F037120" w14:textId="50D1836A" w:rsidR="00A83C87" w:rsidRPr="00844A73" w:rsidRDefault="00A83C87" w:rsidP="000017F7">
      <w:pPr>
        <w:pStyle w:val="Prrafodelista"/>
        <w:numPr>
          <w:ilvl w:val="0"/>
          <w:numId w:val="23"/>
        </w:numPr>
        <w:spacing w:after="0" w:line="240" w:lineRule="auto"/>
        <w:ind w:left="567" w:hanging="567"/>
        <w:jc w:val="both"/>
        <w:rPr>
          <w:rFonts w:ascii="Verdana" w:eastAsia="Times New Roman" w:hAnsi="Verdana" w:cs="Arial"/>
          <w:snapToGrid w:val="0"/>
          <w:sz w:val="20"/>
          <w:szCs w:val="20"/>
          <w:lang w:val="es-MX" w:eastAsia="es-ES"/>
        </w:rPr>
      </w:pPr>
      <w:r w:rsidRPr="00844A73">
        <w:rPr>
          <w:rFonts w:ascii="Verdana" w:eastAsia="Times New Roman" w:hAnsi="Verdana" w:cs="Arial"/>
          <w:snapToGrid w:val="0"/>
          <w:sz w:val="20"/>
          <w:szCs w:val="20"/>
          <w:lang w:val="es-MX" w:eastAsia="es-ES"/>
        </w:rPr>
        <w:t>El producto entre el valor razonable (</w:t>
      </w:r>
      <w:proofErr w:type="spellStart"/>
      <w:r w:rsidRPr="00B25FDD">
        <w:rPr>
          <w:rFonts w:ascii="Verdana" w:eastAsia="Times New Roman" w:hAnsi="Verdana" w:cs="Arial"/>
          <w:i/>
          <w:iCs/>
          <w:snapToGrid w:val="0"/>
          <w:sz w:val="20"/>
          <w:szCs w:val="20"/>
          <w:lang w:val="es-MX" w:eastAsia="es-ES"/>
        </w:rPr>
        <w:t>fair</w:t>
      </w:r>
      <w:proofErr w:type="spellEnd"/>
      <w:r w:rsidRPr="00B25FDD">
        <w:rPr>
          <w:rFonts w:ascii="Verdana" w:eastAsia="Times New Roman" w:hAnsi="Verdana" w:cs="Arial"/>
          <w:i/>
          <w:iCs/>
          <w:snapToGrid w:val="0"/>
          <w:sz w:val="20"/>
          <w:szCs w:val="20"/>
          <w:lang w:val="es-MX" w:eastAsia="es-ES"/>
        </w:rPr>
        <w:t xml:space="preserve"> </w:t>
      </w:r>
      <w:proofErr w:type="spellStart"/>
      <w:r w:rsidRPr="00B25FDD">
        <w:rPr>
          <w:rFonts w:ascii="Verdana" w:eastAsia="Times New Roman" w:hAnsi="Verdana" w:cs="Arial"/>
          <w:i/>
          <w:iCs/>
          <w:snapToGrid w:val="0"/>
          <w:sz w:val="20"/>
          <w:szCs w:val="20"/>
          <w:lang w:val="es-MX" w:eastAsia="es-ES"/>
        </w:rPr>
        <w:t>value</w:t>
      </w:r>
      <w:proofErr w:type="spellEnd"/>
      <w:r w:rsidRPr="00844A73">
        <w:rPr>
          <w:rFonts w:ascii="Verdana" w:eastAsia="Times New Roman" w:hAnsi="Verdana" w:cs="Arial"/>
          <w:snapToGrid w:val="0"/>
          <w:sz w:val="20"/>
          <w:szCs w:val="20"/>
          <w:lang w:val="es-MX" w:eastAsia="es-ES"/>
        </w:rPr>
        <w:t>) del instrumento subyacente y el factor de sensibilidad relevante (Tablas 1 y 2).</w:t>
      </w:r>
    </w:p>
    <w:p w14:paraId="7217D514" w14:textId="77777777" w:rsidR="00A83C87" w:rsidRPr="009C60D9" w:rsidRDefault="00A83C87" w:rsidP="00A83C87">
      <w:pPr>
        <w:spacing w:after="0" w:line="240" w:lineRule="auto"/>
        <w:ind w:left="567" w:hanging="567"/>
        <w:jc w:val="both"/>
        <w:rPr>
          <w:rFonts w:ascii="Verdana" w:eastAsia="Times New Roman" w:hAnsi="Verdana" w:cs="Arial"/>
          <w:snapToGrid w:val="0"/>
          <w:sz w:val="20"/>
          <w:szCs w:val="20"/>
          <w:lang w:val="es-MX" w:eastAsia="es-ES"/>
        </w:rPr>
      </w:pPr>
    </w:p>
    <w:p w14:paraId="661080BD" w14:textId="18630E33" w:rsidR="00A83C87" w:rsidRDefault="00A83C87" w:rsidP="00A83C87">
      <w:pPr>
        <w:pStyle w:val="Prrafodelista"/>
        <w:numPr>
          <w:ilvl w:val="0"/>
          <w:numId w:val="23"/>
        </w:numPr>
        <w:spacing w:after="0" w:line="240" w:lineRule="auto"/>
        <w:ind w:left="567" w:hanging="567"/>
        <w:jc w:val="both"/>
        <w:rPr>
          <w:rFonts w:ascii="Verdana" w:eastAsia="Times New Roman" w:hAnsi="Verdana" w:cs="Arial"/>
          <w:snapToGrid w:val="0"/>
          <w:sz w:val="20"/>
          <w:szCs w:val="20"/>
          <w:lang w:val="es-MX" w:eastAsia="es-ES"/>
        </w:rPr>
      </w:pPr>
      <w:r w:rsidRPr="005855AE">
        <w:rPr>
          <w:rFonts w:ascii="Verdana" w:eastAsia="Times New Roman" w:hAnsi="Verdana" w:cs="Arial"/>
          <w:snapToGrid w:val="0"/>
          <w:sz w:val="20"/>
          <w:szCs w:val="20"/>
          <w:lang w:val="es-MX" w:eastAsia="es-ES"/>
        </w:rPr>
        <w:t>El valor de mercado de la opción, de acuerdo con la metodología especificada e</w:t>
      </w:r>
      <w:r w:rsidR="005855AE" w:rsidRPr="005855AE">
        <w:rPr>
          <w:rFonts w:ascii="Verdana" w:eastAsia="Times New Roman" w:hAnsi="Verdana" w:cs="Arial"/>
          <w:snapToGrid w:val="0"/>
          <w:sz w:val="20"/>
          <w:szCs w:val="20"/>
          <w:lang w:val="es-MX" w:eastAsia="es-ES"/>
        </w:rPr>
        <w:t>n el capítulo 5 de la parte 3 de la CBF.</w:t>
      </w:r>
    </w:p>
    <w:p w14:paraId="721A6F19" w14:textId="77777777" w:rsidR="005855AE" w:rsidRPr="005855AE" w:rsidRDefault="005855AE" w:rsidP="005855AE">
      <w:pPr>
        <w:spacing w:after="0" w:line="240" w:lineRule="auto"/>
        <w:jc w:val="both"/>
        <w:rPr>
          <w:rFonts w:ascii="Verdana" w:eastAsia="Times New Roman" w:hAnsi="Verdana" w:cs="Arial"/>
          <w:snapToGrid w:val="0"/>
          <w:sz w:val="20"/>
          <w:szCs w:val="20"/>
          <w:lang w:val="es-MX" w:eastAsia="es-ES"/>
        </w:rPr>
      </w:pPr>
    </w:p>
    <w:p w14:paraId="2227B75E" w14:textId="30EB1CC8"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sidR="00F367DC">
        <w:rPr>
          <w:rFonts w:ascii="Verdana" w:hAnsi="Verdana"/>
          <w:sz w:val="20"/>
          <w:szCs w:val="20"/>
        </w:rPr>
        <w:t>99</w:t>
      </w:r>
      <w:r w:rsidRPr="000E0B7B">
        <w:rPr>
          <w:rFonts w:ascii="Verdana" w:hAnsi="Verdana"/>
          <w:sz w:val="20"/>
          <w:szCs w:val="20"/>
        </w:rPr>
        <w:t>.</w:t>
      </w:r>
    </w:p>
    <w:p w14:paraId="68B2496B" w14:textId="5316D061"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El resultado del cálculo anterior debe ser sumado al módulo correspondiente </w:t>
      </w:r>
      <w:r w:rsidR="00DE51F6">
        <w:rPr>
          <w:rFonts w:ascii="Verdana" w:eastAsia="Times New Roman" w:hAnsi="Verdana" w:cs="Arial"/>
          <w:snapToGrid w:val="0"/>
          <w:sz w:val="20"/>
          <w:szCs w:val="20"/>
          <w:lang w:val="es-MX" w:eastAsia="es-ES"/>
        </w:rPr>
        <w:t>(párrafos 1.1.A8.</w:t>
      </w:r>
      <w:r w:rsidR="00E57CEA">
        <w:rPr>
          <w:rFonts w:ascii="Verdana" w:eastAsia="Times New Roman" w:hAnsi="Verdana" w:cs="Arial"/>
          <w:snapToGrid w:val="0"/>
          <w:sz w:val="20"/>
          <w:szCs w:val="20"/>
          <w:lang w:val="es-MX" w:eastAsia="es-ES"/>
        </w:rPr>
        <w:t>40. a 1.1.A8.95.)</w:t>
      </w:r>
    </w:p>
    <w:p w14:paraId="1AB77786"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0B710781" w14:textId="77777777" w:rsidR="00A83C87" w:rsidRPr="00E57CEA" w:rsidRDefault="00A83C87" w:rsidP="00704991">
      <w:pPr>
        <w:pStyle w:val="Prrafodelista"/>
        <w:numPr>
          <w:ilvl w:val="0"/>
          <w:numId w:val="27"/>
        </w:numPr>
        <w:spacing w:after="0" w:line="240" w:lineRule="auto"/>
        <w:ind w:left="284" w:hanging="284"/>
        <w:jc w:val="both"/>
        <w:rPr>
          <w:rFonts w:ascii="Verdana" w:eastAsia="Times New Roman" w:hAnsi="Verdana" w:cs="Arial"/>
          <w:b/>
          <w:bCs/>
          <w:snapToGrid w:val="0"/>
          <w:sz w:val="20"/>
          <w:szCs w:val="20"/>
          <w:lang w:val="es-MX" w:eastAsia="es-ES"/>
        </w:rPr>
      </w:pPr>
      <w:r w:rsidRPr="00E57CEA">
        <w:rPr>
          <w:rFonts w:ascii="Verdana" w:eastAsia="Times New Roman" w:hAnsi="Verdana" w:cs="Arial"/>
          <w:b/>
          <w:bCs/>
          <w:snapToGrid w:val="0"/>
          <w:sz w:val="20"/>
          <w:szCs w:val="20"/>
          <w:lang w:val="es-MX" w:eastAsia="es-ES"/>
        </w:rPr>
        <w:t>Aproximación intermedia</w:t>
      </w:r>
    </w:p>
    <w:p w14:paraId="0A399FB5" w14:textId="77777777" w:rsidR="00A83C87" w:rsidRPr="00E57CEA" w:rsidRDefault="00A83C87" w:rsidP="00A83C87">
      <w:pPr>
        <w:spacing w:after="0" w:line="240" w:lineRule="auto"/>
        <w:jc w:val="both"/>
        <w:rPr>
          <w:rFonts w:ascii="Verdana" w:eastAsia="Times New Roman" w:hAnsi="Verdana" w:cs="Arial"/>
          <w:snapToGrid w:val="0"/>
          <w:sz w:val="20"/>
          <w:szCs w:val="20"/>
          <w:lang w:val="es-MX" w:eastAsia="es-ES"/>
        </w:rPr>
      </w:pPr>
    </w:p>
    <w:p w14:paraId="5FB08CF0" w14:textId="154818A3" w:rsidR="00A83C87" w:rsidRPr="00E57CEA" w:rsidRDefault="00A83C87" w:rsidP="00A83C87">
      <w:pPr>
        <w:spacing w:after="0"/>
        <w:rPr>
          <w:rFonts w:ascii="Verdana" w:hAnsi="Verdana"/>
          <w:sz w:val="20"/>
          <w:szCs w:val="20"/>
        </w:rPr>
      </w:pPr>
      <w:r w:rsidRPr="00E57CEA">
        <w:rPr>
          <w:rFonts w:ascii="Verdana" w:hAnsi="Verdana"/>
          <w:sz w:val="20"/>
          <w:szCs w:val="20"/>
        </w:rPr>
        <w:t>1.1.A8.1</w:t>
      </w:r>
      <w:r w:rsidR="00F367DC" w:rsidRPr="00E57CEA">
        <w:rPr>
          <w:rFonts w:ascii="Verdana" w:hAnsi="Verdana"/>
          <w:sz w:val="20"/>
          <w:szCs w:val="20"/>
        </w:rPr>
        <w:t>00</w:t>
      </w:r>
      <w:r w:rsidRPr="00E57CEA">
        <w:rPr>
          <w:rFonts w:ascii="Verdana" w:hAnsi="Verdana"/>
          <w:sz w:val="20"/>
          <w:szCs w:val="20"/>
        </w:rPr>
        <w:t>.</w:t>
      </w:r>
    </w:p>
    <w:p w14:paraId="131BB725" w14:textId="3E2278FF"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E57CEA">
        <w:rPr>
          <w:rFonts w:ascii="Verdana" w:eastAsia="Times New Roman" w:hAnsi="Verdana" w:cs="Arial"/>
          <w:snapToGrid w:val="0"/>
          <w:sz w:val="20"/>
          <w:szCs w:val="20"/>
          <w:lang w:val="es-MX" w:eastAsia="es-ES"/>
        </w:rPr>
        <w:t>En la aproximación intermedia el cargo de capital asociado a las posiciones en opciones es calculado a partir de los factores de sensibilidad (“</w:t>
      </w:r>
      <w:proofErr w:type="gramStart"/>
      <w:r w:rsidRPr="00E57CEA">
        <w:rPr>
          <w:rFonts w:ascii="Verdana" w:eastAsia="Times New Roman" w:hAnsi="Verdana" w:cs="Arial"/>
          <w:snapToGrid w:val="0"/>
          <w:sz w:val="20"/>
          <w:szCs w:val="20"/>
          <w:lang w:val="es-MX" w:eastAsia="es-ES"/>
        </w:rPr>
        <w:t>Griegas</w:t>
      </w:r>
      <w:proofErr w:type="gramEnd"/>
      <w:r w:rsidRPr="00E57CEA">
        <w:rPr>
          <w:rFonts w:ascii="Verdana" w:eastAsia="Times New Roman" w:hAnsi="Verdana" w:cs="Arial"/>
          <w:snapToGrid w:val="0"/>
          <w:sz w:val="20"/>
          <w:szCs w:val="20"/>
          <w:lang w:val="es-MX" w:eastAsia="es-ES"/>
        </w:rPr>
        <w:t xml:space="preserve">”) delta, gamma y vega de acuerdo </w:t>
      </w:r>
      <w:r w:rsidR="00040A57">
        <w:rPr>
          <w:rFonts w:ascii="Verdana" w:eastAsia="Times New Roman" w:hAnsi="Verdana" w:cs="Arial"/>
          <w:snapToGrid w:val="0"/>
          <w:sz w:val="20"/>
          <w:szCs w:val="20"/>
          <w:lang w:val="es-MX" w:eastAsia="es-ES"/>
        </w:rPr>
        <w:t>con</w:t>
      </w:r>
      <w:r w:rsidRPr="00E57CEA">
        <w:rPr>
          <w:rFonts w:ascii="Verdana" w:eastAsia="Times New Roman" w:hAnsi="Verdana" w:cs="Arial"/>
          <w:snapToGrid w:val="0"/>
          <w:sz w:val="20"/>
          <w:szCs w:val="20"/>
          <w:lang w:val="es-MX" w:eastAsia="es-ES"/>
        </w:rPr>
        <w:t xml:space="preserve"> lo estipulado en los siguientes </w:t>
      </w:r>
      <w:r w:rsidR="00E57CEA" w:rsidRPr="00E57CEA">
        <w:rPr>
          <w:rFonts w:ascii="Verdana" w:eastAsia="Times New Roman" w:hAnsi="Verdana" w:cs="Arial"/>
          <w:snapToGrid w:val="0"/>
          <w:sz w:val="20"/>
          <w:szCs w:val="20"/>
          <w:lang w:val="es-MX" w:eastAsia="es-ES"/>
        </w:rPr>
        <w:t>párrafos</w:t>
      </w:r>
      <w:r w:rsidRPr="00E57CEA">
        <w:rPr>
          <w:rFonts w:ascii="Verdana" w:eastAsia="Times New Roman" w:hAnsi="Verdana" w:cs="Arial"/>
          <w:snapToGrid w:val="0"/>
          <w:sz w:val="20"/>
          <w:szCs w:val="20"/>
          <w:lang w:val="es-MX" w:eastAsia="es-ES"/>
        </w:rPr>
        <w:t>:</w:t>
      </w:r>
    </w:p>
    <w:p w14:paraId="294DC5C2"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02E8601D" w14:textId="165EEC46" w:rsidR="00A83C87" w:rsidRPr="00704991" w:rsidRDefault="00A83C87" w:rsidP="00704991">
      <w:pPr>
        <w:pStyle w:val="Prrafodelista"/>
        <w:numPr>
          <w:ilvl w:val="0"/>
          <w:numId w:val="28"/>
        </w:numPr>
        <w:ind w:left="567" w:hanging="283"/>
        <w:jc w:val="both"/>
        <w:rPr>
          <w:rFonts w:ascii="Verdana" w:eastAsia="Times New Roman" w:hAnsi="Verdana" w:cs="Arial"/>
          <w:snapToGrid w:val="0"/>
          <w:sz w:val="20"/>
          <w:szCs w:val="20"/>
          <w:lang w:val="es-MX" w:eastAsia="es-ES"/>
        </w:rPr>
      </w:pPr>
      <w:r w:rsidRPr="00704991">
        <w:rPr>
          <w:rFonts w:ascii="Verdana" w:hAnsi="Verdana"/>
          <w:b/>
          <w:bCs/>
          <w:sz w:val="20"/>
          <w:szCs w:val="20"/>
        </w:rPr>
        <w:t>Posición delta ponderada</w:t>
      </w:r>
    </w:p>
    <w:p w14:paraId="27BBF53B" w14:textId="455AC322"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F367DC">
        <w:rPr>
          <w:rFonts w:ascii="Verdana" w:hAnsi="Verdana"/>
          <w:sz w:val="20"/>
          <w:szCs w:val="20"/>
        </w:rPr>
        <w:t>01</w:t>
      </w:r>
      <w:r w:rsidRPr="000E0B7B">
        <w:rPr>
          <w:rFonts w:ascii="Verdana" w:hAnsi="Verdana"/>
          <w:sz w:val="20"/>
          <w:szCs w:val="20"/>
        </w:rPr>
        <w:t>.</w:t>
      </w:r>
    </w:p>
    <w:p w14:paraId="70BB90DB" w14:textId="2E8B1032"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Bajo esta aproximación la posición delta ponderada de las opciones está sujeta a los </w:t>
      </w:r>
      <w:r w:rsidRPr="00D47E2E">
        <w:rPr>
          <w:rFonts w:ascii="Verdana" w:eastAsia="Times New Roman" w:hAnsi="Verdana" w:cs="Arial"/>
          <w:snapToGrid w:val="0"/>
          <w:sz w:val="20"/>
          <w:szCs w:val="20"/>
          <w:lang w:val="es-MX" w:eastAsia="es-ES"/>
        </w:rPr>
        <w:t>requerimientos de capital descritos</w:t>
      </w:r>
      <w:r w:rsidR="00040A57" w:rsidRPr="00D47E2E">
        <w:rPr>
          <w:rFonts w:ascii="Verdana" w:eastAsia="Times New Roman" w:hAnsi="Verdana" w:cs="Arial"/>
          <w:snapToGrid w:val="0"/>
          <w:sz w:val="20"/>
          <w:szCs w:val="20"/>
          <w:lang w:val="es-MX" w:eastAsia="es-ES"/>
        </w:rPr>
        <w:t xml:space="preserve"> entre los</w:t>
      </w:r>
      <w:r w:rsidRPr="00D47E2E">
        <w:rPr>
          <w:rFonts w:ascii="Verdana" w:eastAsia="Times New Roman" w:hAnsi="Verdana" w:cs="Arial"/>
          <w:snapToGrid w:val="0"/>
          <w:sz w:val="20"/>
          <w:szCs w:val="20"/>
          <w:lang w:val="es-MX" w:eastAsia="es-ES"/>
        </w:rPr>
        <w:t xml:space="preserve"> </w:t>
      </w:r>
      <w:r w:rsidR="00040A57" w:rsidRPr="00D47E2E">
        <w:rPr>
          <w:rFonts w:ascii="Verdana" w:eastAsia="Times New Roman" w:hAnsi="Verdana" w:cs="Arial"/>
          <w:snapToGrid w:val="0"/>
          <w:sz w:val="20"/>
          <w:szCs w:val="20"/>
          <w:lang w:val="es-MX" w:eastAsia="es-ES"/>
        </w:rPr>
        <w:t>párrafos 1.1.A8.40.</w:t>
      </w:r>
      <w:r w:rsidR="008A1A25">
        <w:rPr>
          <w:rFonts w:ascii="Verdana" w:eastAsia="Times New Roman" w:hAnsi="Verdana" w:cs="Arial"/>
          <w:snapToGrid w:val="0"/>
          <w:sz w:val="20"/>
          <w:szCs w:val="20"/>
          <w:lang w:val="es-MX" w:eastAsia="es-ES"/>
        </w:rPr>
        <w:t xml:space="preserve"> </w:t>
      </w:r>
      <w:r w:rsidR="00040A57" w:rsidRPr="00D47E2E">
        <w:rPr>
          <w:rFonts w:ascii="Verdana" w:eastAsia="Times New Roman" w:hAnsi="Verdana" w:cs="Arial"/>
          <w:snapToGrid w:val="0"/>
          <w:sz w:val="20"/>
          <w:szCs w:val="20"/>
          <w:lang w:val="es-MX" w:eastAsia="es-ES"/>
        </w:rPr>
        <w:t xml:space="preserve">y 1.1.A8.95. </w:t>
      </w:r>
      <w:r w:rsidRPr="00D47E2E">
        <w:rPr>
          <w:rFonts w:ascii="Verdana" w:eastAsia="Times New Roman" w:hAnsi="Verdana" w:cs="Arial"/>
          <w:snapToGrid w:val="0"/>
          <w:sz w:val="20"/>
          <w:szCs w:val="20"/>
          <w:lang w:val="es-MX" w:eastAsia="es-ES"/>
        </w:rPr>
        <w:t>dependiendo de los cargos aplicables al subyacente de la opción.</w:t>
      </w:r>
    </w:p>
    <w:p w14:paraId="66B109C8" w14:textId="77777777" w:rsidR="00A83C87" w:rsidRPr="009C60D9" w:rsidRDefault="00A83C87" w:rsidP="00A83C87">
      <w:pPr>
        <w:spacing w:after="0" w:line="240" w:lineRule="auto"/>
        <w:ind w:left="284" w:hanging="284"/>
        <w:jc w:val="both"/>
        <w:rPr>
          <w:rFonts w:ascii="Verdana" w:eastAsia="Times New Roman" w:hAnsi="Verdana" w:cs="Arial"/>
          <w:b/>
          <w:snapToGrid w:val="0"/>
          <w:sz w:val="20"/>
          <w:szCs w:val="20"/>
          <w:lang w:val="es-MX" w:eastAsia="es-ES"/>
        </w:rPr>
      </w:pPr>
    </w:p>
    <w:p w14:paraId="645088D6" w14:textId="2FDC5BFF" w:rsidR="00A83C87" w:rsidRPr="00704991" w:rsidRDefault="00A83C87" w:rsidP="00704991">
      <w:pPr>
        <w:pStyle w:val="Prrafodelista"/>
        <w:numPr>
          <w:ilvl w:val="0"/>
          <w:numId w:val="28"/>
        </w:numPr>
        <w:ind w:left="567" w:hanging="283"/>
        <w:jc w:val="both"/>
        <w:rPr>
          <w:rFonts w:ascii="Verdana" w:hAnsi="Verdana"/>
          <w:b/>
          <w:bCs/>
          <w:sz w:val="20"/>
          <w:szCs w:val="20"/>
        </w:rPr>
      </w:pPr>
      <w:r w:rsidRPr="00704991">
        <w:rPr>
          <w:rFonts w:ascii="Verdana" w:hAnsi="Verdana"/>
          <w:b/>
          <w:bCs/>
          <w:sz w:val="20"/>
          <w:szCs w:val="20"/>
        </w:rPr>
        <w:t>Riesgo Gamma</w:t>
      </w:r>
    </w:p>
    <w:p w14:paraId="009E656B" w14:textId="5039725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F367DC">
        <w:rPr>
          <w:rFonts w:ascii="Verdana" w:hAnsi="Verdana"/>
          <w:sz w:val="20"/>
          <w:szCs w:val="20"/>
        </w:rPr>
        <w:t>02</w:t>
      </w:r>
      <w:r w:rsidRPr="000E0B7B">
        <w:rPr>
          <w:rFonts w:ascii="Verdana" w:hAnsi="Verdana"/>
          <w:sz w:val="20"/>
          <w:szCs w:val="20"/>
        </w:rPr>
        <w:t>.</w:t>
      </w:r>
    </w:p>
    <w:p w14:paraId="57A56E05"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Para cada opción, un impacto gamma deberá ser calculado como:</w:t>
      </w:r>
    </w:p>
    <w:p w14:paraId="798BCB84" w14:textId="77777777" w:rsidR="00947CD7" w:rsidRDefault="00947CD7" w:rsidP="00947CD7">
      <w:pPr>
        <w:pStyle w:val="Textoindependiente"/>
        <w:rPr>
          <w:rFonts w:ascii="Verdana" w:hAnsi="Verdana"/>
          <w:sz w:val="20"/>
        </w:rPr>
      </w:pPr>
    </w:p>
    <w:p w14:paraId="030B9193" w14:textId="77777777" w:rsidR="00947CD7" w:rsidRPr="000E0B7B" w:rsidRDefault="00947CD7" w:rsidP="00947CD7">
      <w:pPr>
        <w:pStyle w:val="Textoindependiente"/>
        <w:rPr>
          <w:rFonts w:ascii="Verdana" w:hAnsi="Verdana"/>
          <w:sz w:val="20"/>
        </w:rPr>
      </w:pPr>
      <m:oMathPara>
        <m:oMath>
          <m:r>
            <w:rPr>
              <w:rFonts w:ascii="Cambria Math" w:hAnsi="Cambria Math"/>
              <w:sz w:val="20"/>
            </w:rPr>
            <m:t>Impacto Gamma=</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r>
            <w:rPr>
              <w:rFonts w:ascii="Cambria Math" w:hAnsi="Cambria Math"/>
              <w:sz w:val="20"/>
            </w:rPr>
            <m:t>Gamma*</m:t>
          </m:r>
          <m:sSup>
            <m:sSupPr>
              <m:ctrlPr>
                <w:rPr>
                  <w:rFonts w:ascii="Cambria Math" w:hAnsi="Cambria Math"/>
                  <w:i/>
                  <w:sz w:val="20"/>
                </w:rPr>
              </m:ctrlPr>
            </m:sSupPr>
            <m:e>
              <m:r>
                <w:rPr>
                  <w:rFonts w:ascii="Cambria Math" w:hAnsi="Cambria Math"/>
                  <w:sz w:val="20"/>
                </w:rPr>
                <m:t>VS</m:t>
              </m:r>
            </m:e>
            <m:sup>
              <m:r>
                <w:rPr>
                  <w:rFonts w:ascii="Cambria Math" w:hAnsi="Cambria Math"/>
                  <w:sz w:val="20"/>
                </w:rPr>
                <m:t>2</m:t>
              </m:r>
            </m:sup>
          </m:sSup>
        </m:oMath>
      </m:oMathPara>
    </w:p>
    <w:p w14:paraId="6DDC6960" w14:textId="77777777" w:rsidR="00947CD7" w:rsidRDefault="00947CD7" w:rsidP="00947CD7">
      <w:pPr>
        <w:pStyle w:val="Textoindependiente"/>
        <w:jc w:val="center"/>
        <w:rPr>
          <w:rFonts w:ascii="Verdana" w:hAnsi="Verdana"/>
          <w:b/>
          <w:bCs/>
          <w:sz w:val="20"/>
        </w:rPr>
      </w:pPr>
    </w:p>
    <w:p w14:paraId="3BC371D4" w14:textId="77777777" w:rsidR="00947CD7" w:rsidRPr="00A90E9D" w:rsidRDefault="00947CD7" w:rsidP="00947CD7">
      <w:pPr>
        <w:pStyle w:val="Textoindependiente"/>
        <w:rPr>
          <w:rFonts w:ascii="Verdana" w:hAnsi="Verdana"/>
          <w:b/>
          <w:bCs/>
          <w:sz w:val="20"/>
        </w:rPr>
      </w:pPr>
      <w:r w:rsidRPr="000E0B7B">
        <w:rPr>
          <w:rFonts w:ascii="Verdana" w:hAnsi="Verdana"/>
          <w:sz w:val="20"/>
        </w:rPr>
        <w:t>Donde:</w:t>
      </w:r>
    </w:p>
    <w:p w14:paraId="53F2966D" w14:textId="77777777" w:rsidR="00947CD7" w:rsidRDefault="00947CD7" w:rsidP="00947CD7">
      <w:pPr>
        <w:pStyle w:val="Textoindependiente"/>
        <w:ind w:left="284"/>
        <w:rPr>
          <w:rFonts w:ascii="Verdana" w:hAnsi="Verdana"/>
          <w:i/>
          <w:iCs/>
          <w:sz w:val="20"/>
        </w:rPr>
      </w:pPr>
    </w:p>
    <w:p w14:paraId="1C81A738" w14:textId="77777777" w:rsidR="00947CD7" w:rsidRPr="000E0B7B" w:rsidRDefault="00947CD7" w:rsidP="00947CD7">
      <w:pPr>
        <w:pStyle w:val="Textoindependiente"/>
        <w:rPr>
          <w:rFonts w:ascii="Verdana" w:hAnsi="Verdana"/>
          <w:sz w:val="20"/>
        </w:rPr>
      </w:pPr>
      <m:oMath>
        <m:r>
          <w:rPr>
            <w:rFonts w:ascii="Cambria Math" w:hAnsi="Cambria Math"/>
            <w:sz w:val="20"/>
          </w:rPr>
          <m:t>VS</m:t>
        </m:r>
      </m:oMath>
      <w:r>
        <w:rPr>
          <w:rFonts w:ascii="Verdana" w:hAnsi="Verdana"/>
          <w:i/>
          <w:sz w:val="20"/>
        </w:rPr>
        <w:t xml:space="preserve">: </w:t>
      </w:r>
      <w:r>
        <w:rPr>
          <w:rFonts w:ascii="Verdana" w:hAnsi="Verdana"/>
          <w:sz w:val="20"/>
        </w:rPr>
        <w:t>v</w:t>
      </w:r>
      <w:r w:rsidRPr="000E0B7B">
        <w:rPr>
          <w:rFonts w:ascii="Verdana" w:hAnsi="Verdana"/>
          <w:sz w:val="20"/>
        </w:rPr>
        <w:t>ariación del Valor del Subyacente</w:t>
      </w:r>
    </w:p>
    <w:p w14:paraId="34F8DE18" w14:textId="77777777" w:rsidR="00947CD7" w:rsidRDefault="00947CD7" w:rsidP="00947CD7">
      <w:pPr>
        <w:pStyle w:val="Textoindependiente"/>
        <w:rPr>
          <w:rFonts w:ascii="Verdana" w:hAnsi="Verdana"/>
          <w:i/>
          <w:iCs/>
          <w:sz w:val="20"/>
        </w:rPr>
      </w:pPr>
    </w:p>
    <w:p w14:paraId="4A6D14E3" w14:textId="77777777" w:rsidR="00947CD7" w:rsidRPr="000E0B7B" w:rsidRDefault="00947CD7" w:rsidP="00947CD7">
      <w:pPr>
        <w:pStyle w:val="Textoindependiente"/>
        <w:rPr>
          <w:rFonts w:ascii="Verdana" w:hAnsi="Verdana"/>
          <w:sz w:val="20"/>
        </w:rPr>
      </w:pPr>
      <m:oMath>
        <m:r>
          <w:rPr>
            <w:rFonts w:ascii="Cambria Math" w:hAnsi="Cambria Math"/>
            <w:sz w:val="20"/>
          </w:rPr>
          <m:t>Gamma</m:t>
        </m:r>
      </m:oMath>
      <w:r w:rsidRPr="000E0B7B">
        <w:rPr>
          <w:rFonts w:ascii="Verdana" w:hAnsi="Verdana"/>
          <w:i/>
          <w:iCs/>
          <w:sz w:val="20"/>
        </w:rPr>
        <w:tab/>
      </w:r>
      <w:r>
        <w:rPr>
          <w:rFonts w:ascii="Verdana" w:hAnsi="Verdana"/>
          <w:sz w:val="20"/>
        </w:rPr>
        <w:t>: c</w:t>
      </w:r>
      <w:r w:rsidRPr="000E0B7B">
        <w:rPr>
          <w:rFonts w:ascii="Verdana" w:hAnsi="Verdana"/>
          <w:sz w:val="20"/>
        </w:rPr>
        <w:t>ambio del factor delta ante un cambio de una unidad en el valor del subyacente.</w:t>
      </w:r>
    </w:p>
    <w:p w14:paraId="53B7FBFB" w14:textId="77777777" w:rsidR="00A83C87" w:rsidRPr="00947CD7" w:rsidRDefault="00A83C87" w:rsidP="00A83C87">
      <w:pPr>
        <w:spacing w:after="0" w:line="240" w:lineRule="auto"/>
        <w:ind w:left="284" w:hanging="284"/>
        <w:jc w:val="both"/>
        <w:rPr>
          <w:rFonts w:ascii="Verdana" w:eastAsia="Times New Roman" w:hAnsi="Verdana" w:cs="Arial"/>
          <w:snapToGrid w:val="0"/>
          <w:sz w:val="20"/>
          <w:szCs w:val="20"/>
          <w:lang w:eastAsia="es-ES"/>
        </w:rPr>
      </w:pPr>
    </w:p>
    <w:p w14:paraId="544AA400" w14:textId="010FF2B4"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F367DC">
        <w:rPr>
          <w:rFonts w:ascii="Verdana" w:hAnsi="Verdana"/>
          <w:sz w:val="20"/>
          <w:szCs w:val="20"/>
        </w:rPr>
        <w:t>03</w:t>
      </w:r>
      <w:r w:rsidRPr="000E0B7B">
        <w:rPr>
          <w:rFonts w:ascii="Verdana" w:hAnsi="Verdana"/>
          <w:sz w:val="20"/>
          <w:szCs w:val="20"/>
        </w:rPr>
        <w:t>.</w:t>
      </w:r>
    </w:p>
    <w:p w14:paraId="4E826958" w14:textId="1227F49D" w:rsidR="00A83C87" w:rsidRPr="009C60D9" w:rsidRDefault="00A83C87" w:rsidP="00A83C87">
      <w:pPr>
        <w:spacing w:after="0" w:line="240" w:lineRule="auto"/>
        <w:jc w:val="both"/>
        <w:rPr>
          <w:rFonts w:ascii="Verdana" w:eastAsia="Times New Roman" w:hAnsi="Verdana" w:cs="Arial"/>
          <w:b/>
          <w:snapToGrid w:val="0"/>
          <w:sz w:val="20"/>
          <w:szCs w:val="20"/>
          <w:lang w:val="es-MX" w:eastAsia="es-ES"/>
        </w:rPr>
      </w:pPr>
      <w:r w:rsidRPr="009C60D9">
        <w:rPr>
          <w:rFonts w:ascii="Verdana" w:eastAsia="Times New Roman" w:hAnsi="Verdana" w:cs="Arial"/>
          <w:snapToGrid w:val="0"/>
          <w:sz w:val="20"/>
          <w:szCs w:val="20"/>
          <w:lang w:val="es-MX" w:eastAsia="es-ES"/>
        </w:rPr>
        <w:t xml:space="preserve">La variación en el valor del subyacente corresponde al factor de sensibilidad de la banda correspondiente en la Tabla 1 cuando el subyacente sea un título de deuda o una tasa de interés. Para las opciones en acciones, la variación </w:t>
      </w:r>
      <w:r w:rsidRPr="00733508">
        <w:rPr>
          <w:rFonts w:ascii="Verdana" w:eastAsia="Times New Roman" w:hAnsi="Verdana" w:cs="Arial"/>
          <w:snapToGrid w:val="0"/>
          <w:sz w:val="20"/>
          <w:szCs w:val="20"/>
          <w:lang w:val="es-MX" w:eastAsia="es-ES"/>
        </w:rPr>
        <w:t xml:space="preserve">en el valor del subyacente es el factor de ponderación correspondiente según lo estipulado </w:t>
      </w:r>
      <w:r w:rsidR="006B26C2" w:rsidRPr="00733508">
        <w:rPr>
          <w:rFonts w:ascii="Verdana" w:eastAsia="Times New Roman" w:hAnsi="Verdana" w:cs="Arial"/>
          <w:snapToGrid w:val="0"/>
          <w:sz w:val="20"/>
          <w:szCs w:val="20"/>
          <w:lang w:val="es-MX" w:eastAsia="es-ES"/>
        </w:rPr>
        <w:t>entre los párrafos 1.1.A8</w:t>
      </w:r>
      <w:r w:rsidRPr="00733508">
        <w:rPr>
          <w:rFonts w:ascii="Verdana" w:eastAsia="Times New Roman" w:hAnsi="Verdana" w:cs="Arial"/>
          <w:snapToGrid w:val="0"/>
          <w:sz w:val="20"/>
          <w:szCs w:val="20"/>
          <w:lang w:val="es-MX" w:eastAsia="es-ES"/>
        </w:rPr>
        <w:t>.</w:t>
      </w:r>
      <w:r w:rsidR="00733508" w:rsidRPr="00733508">
        <w:rPr>
          <w:rFonts w:ascii="Verdana" w:eastAsia="Times New Roman" w:hAnsi="Verdana" w:cs="Arial"/>
          <w:snapToGrid w:val="0"/>
          <w:sz w:val="20"/>
          <w:szCs w:val="20"/>
          <w:lang w:val="es-MX" w:eastAsia="es-ES"/>
        </w:rPr>
        <w:t xml:space="preserve">82. </w:t>
      </w:r>
      <w:r w:rsidR="00733508" w:rsidRPr="00733508">
        <w:rPr>
          <w:rFonts w:ascii="Verdana" w:eastAsia="Times New Roman" w:hAnsi="Verdana" w:cs="Arial"/>
          <w:snapToGrid w:val="0"/>
          <w:sz w:val="20"/>
          <w:szCs w:val="20"/>
          <w:lang w:val="es-MX" w:eastAsia="es-ES"/>
        </w:rPr>
        <w:lastRenderedPageBreak/>
        <w:t>y 1.1.A8.90.</w:t>
      </w:r>
      <w:r w:rsidRPr="00733508">
        <w:rPr>
          <w:rFonts w:ascii="Verdana" w:eastAsia="Times New Roman" w:hAnsi="Verdana" w:cs="Arial"/>
          <w:snapToGrid w:val="0"/>
          <w:sz w:val="20"/>
          <w:szCs w:val="20"/>
          <w:lang w:val="es-MX" w:eastAsia="es-ES"/>
        </w:rPr>
        <w:t xml:space="preserve"> Para las posiciones en moneda extranjera o divisas</w:t>
      </w:r>
      <w:r w:rsidRPr="009C60D9">
        <w:rPr>
          <w:rFonts w:ascii="Verdana" w:eastAsia="Times New Roman" w:hAnsi="Verdana" w:cs="Arial"/>
          <w:snapToGrid w:val="0"/>
          <w:sz w:val="20"/>
          <w:szCs w:val="20"/>
          <w:lang w:val="es-MX" w:eastAsia="es-ES"/>
        </w:rPr>
        <w:t xml:space="preserve">, el cambio en el valor del subyacente es el estipulado en la </w:t>
      </w:r>
      <w:r w:rsidR="00733508">
        <w:rPr>
          <w:rFonts w:ascii="Verdana" w:eastAsia="Times New Roman" w:hAnsi="Verdana" w:cs="Arial"/>
          <w:snapToGrid w:val="0"/>
          <w:sz w:val="20"/>
          <w:szCs w:val="20"/>
          <w:lang w:val="es-MX" w:eastAsia="es-ES"/>
        </w:rPr>
        <w:t>t</w:t>
      </w:r>
      <w:r w:rsidRPr="009C60D9">
        <w:rPr>
          <w:rFonts w:ascii="Verdana" w:eastAsia="Times New Roman" w:hAnsi="Verdana" w:cs="Arial"/>
          <w:snapToGrid w:val="0"/>
          <w:sz w:val="20"/>
          <w:szCs w:val="20"/>
          <w:lang w:val="es-MX" w:eastAsia="es-ES"/>
        </w:rPr>
        <w:t>abla 2 según corresponda</w:t>
      </w:r>
      <w:r w:rsidRPr="009C60D9">
        <w:rPr>
          <w:rFonts w:ascii="Verdana" w:eastAsia="Times New Roman" w:hAnsi="Verdana" w:cs="Arial"/>
          <w:b/>
          <w:snapToGrid w:val="0"/>
          <w:sz w:val="20"/>
          <w:szCs w:val="20"/>
          <w:lang w:val="es-MX" w:eastAsia="es-ES"/>
        </w:rPr>
        <w:t>.</w:t>
      </w:r>
    </w:p>
    <w:p w14:paraId="133CB43F" w14:textId="2D4BB326"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04</w:t>
      </w:r>
      <w:r w:rsidRPr="000E0B7B">
        <w:rPr>
          <w:rFonts w:ascii="Verdana" w:hAnsi="Verdana"/>
          <w:sz w:val="20"/>
          <w:szCs w:val="20"/>
        </w:rPr>
        <w:t>.</w:t>
      </w:r>
    </w:p>
    <w:p w14:paraId="1ADB8CB6"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Posteriormente, las posiciones en opciones se agruparán según el instrumento subyacente, como se explica a continuación:</w:t>
      </w:r>
    </w:p>
    <w:p w14:paraId="73B1E1F4" w14:textId="77777777" w:rsidR="00A83C87" w:rsidRPr="009C60D9" w:rsidRDefault="00A83C87" w:rsidP="00A83C87">
      <w:pPr>
        <w:spacing w:after="0" w:line="240" w:lineRule="auto"/>
        <w:ind w:left="284" w:hanging="284"/>
        <w:jc w:val="both"/>
        <w:rPr>
          <w:rFonts w:ascii="Verdana" w:eastAsia="Times New Roman" w:hAnsi="Verdana" w:cs="Arial"/>
          <w:snapToGrid w:val="0"/>
          <w:sz w:val="20"/>
          <w:szCs w:val="20"/>
          <w:lang w:val="es-MX" w:eastAsia="es-ES"/>
        </w:rPr>
      </w:pPr>
    </w:p>
    <w:p w14:paraId="0A36448E" w14:textId="77777777" w:rsidR="00A83C87" w:rsidRPr="009C60D9" w:rsidRDefault="00A83C87" w:rsidP="000017F7">
      <w:pPr>
        <w:pStyle w:val="Prrafodelista"/>
        <w:numPr>
          <w:ilvl w:val="0"/>
          <w:numId w:val="25"/>
        </w:numPr>
        <w:spacing w:after="0" w:line="240" w:lineRule="auto"/>
        <w:ind w:left="567" w:hanging="567"/>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Por banda en las escaleras de duración modificada en el caso de opciones con subyacentes expuestos a riesgo de tasa de interés.</w:t>
      </w:r>
    </w:p>
    <w:p w14:paraId="0E1CE128" w14:textId="77777777" w:rsidR="00454E87" w:rsidRDefault="00454E87" w:rsidP="00454E87">
      <w:pPr>
        <w:pStyle w:val="Prrafodelista"/>
        <w:spacing w:after="0" w:line="240" w:lineRule="auto"/>
        <w:ind w:left="567"/>
        <w:jc w:val="both"/>
        <w:rPr>
          <w:rFonts w:ascii="Verdana" w:eastAsia="Times New Roman" w:hAnsi="Verdana" w:cs="Arial"/>
          <w:snapToGrid w:val="0"/>
          <w:sz w:val="20"/>
          <w:szCs w:val="20"/>
          <w:lang w:val="es-MX" w:eastAsia="es-ES"/>
        </w:rPr>
      </w:pPr>
    </w:p>
    <w:p w14:paraId="430560CD" w14:textId="77777777" w:rsidR="00454E87" w:rsidRDefault="00A83C87" w:rsidP="00454E87">
      <w:pPr>
        <w:pStyle w:val="Prrafodelista"/>
        <w:numPr>
          <w:ilvl w:val="0"/>
          <w:numId w:val="25"/>
        </w:numPr>
        <w:spacing w:after="0" w:line="240" w:lineRule="auto"/>
        <w:ind w:left="567" w:hanging="567"/>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Por mercado nacional en el caso de opciones con subyacentes expuestos a riesgo de cambios en el precio de acciones.</w:t>
      </w:r>
    </w:p>
    <w:p w14:paraId="405F70AA" w14:textId="77777777" w:rsidR="00454E87" w:rsidRPr="00454E87" w:rsidRDefault="00454E87" w:rsidP="00454E87">
      <w:pPr>
        <w:pStyle w:val="Prrafodelista"/>
        <w:rPr>
          <w:rFonts w:ascii="Verdana" w:eastAsia="Times New Roman" w:hAnsi="Verdana" w:cs="Arial"/>
          <w:snapToGrid w:val="0"/>
          <w:sz w:val="20"/>
          <w:szCs w:val="20"/>
          <w:lang w:val="es-MX" w:eastAsia="es-ES"/>
        </w:rPr>
      </w:pPr>
    </w:p>
    <w:p w14:paraId="53FFB8E5" w14:textId="7DA877B5" w:rsidR="00A83C87" w:rsidRPr="00454E87" w:rsidRDefault="00A83C87" w:rsidP="00454E87">
      <w:pPr>
        <w:pStyle w:val="Prrafodelista"/>
        <w:numPr>
          <w:ilvl w:val="0"/>
          <w:numId w:val="25"/>
        </w:numPr>
        <w:spacing w:after="0" w:line="240" w:lineRule="auto"/>
        <w:ind w:left="567" w:hanging="567"/>
        <w:jc w:val="both"/>
        <w:rPr>
          <w:rFonts w:ascii="Verdana" w:eastAsia="Times New Roman" w:hAnsi="Verdana" w:cs="Arial"/>
          <w:snapToGrid w:val="0"/>
          <w:sz w:val="20"/>
          <w:szCs w:val="20"/>
          <w:lang w:val="es-MX" w:eastAsia="es-ES"/>
        </w:rPr>
      </w:pPr>
      <w:r w:rsidRPr="00454E87">
        <w:rPr>
          <w:rFonts w:ascii="Verdana" w:eastAsia="Times New Roman" w:hAnsi="Verdana" w:cs="Arial"/>
          <w:snapToGrid w:val="0"/>
          <w:sz w:val="20"/>
          <w:szCs w:val="20"/>
          <w:lang w:val="es-MX" w:eastAsia="es-ES"/>
        </w:rPr>
        <w:t>Por moneda en el caso de opciones con subyacentes expuestos a riesgo de tasa de cambio.</w:t>
      </w:r>
    </w:p>
    <w:p w14:paraId="14651192" w14:textId="77777777" w:rsidR="00A83C87" w:rsidRPr="009C60D9" w:rsidRDefault="00A83C87" w:rsidP="00A83C87">
      <w:pPr>
        <w:spacing w:after="0" w:line="240" w:lineRule="auto"/>
        <w:ind w:left="284" w:hanging="284"/>
        <w:jc w:val="both"/>
        <w:rPr>
          <w:rFonts w:ascii="Verdana" w:eastAsia="Times New Roman" w:hAnsi="Verdana" w:cs="Arial"/>
          <w:snapToGrid w:val="0"/>
          <w:sz w:val="20"/>
          <w:szCs w:val="20"/>
          <w:lang w:val="es-MX" w:eastAsia="es-ES"/>
        </w:rPr>
      </w:pPr>
    </w:p>
    <w:p w14:paraId="045FC27E" w14:textId="1A01BB1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05</w:t>
      </w:r>
      <w:r w:rsidRPr="000E0B7B">
        <w:rPr>
          <w:rFonts w:ascii="Verdana" w:hAnsi="Verdana"/>
          <w:sz w:val="20"/>
          <w:szCs w:val="20"/>
        </w:rPr>
        <w:t>.</w:t>
      </w:r>
    </w:p>
    <w:p w14:paraId="68B514F1"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Para cada grupo se calcula un impacto gamma neto, como la suma de los impactos gamma de todas las posiciones en la agrupación. Para el cálculo de los requerimientos de capital solamente se tienen en cuenta, en valor absoluto, los impactos gamma netos negativos.</w:t>
      </w:r>
    </w:p>
    <w:p w14:paraId="05F15219" w14:textId="77777777" w:rsidR="00A83C87" w:rsidRDefault="00A83C87" w:rsidP="00A83C87">
      <w:pPr>
        <w:spacing w:after="0" w:line="240" w:lineRule="auto"/>
        <w:ind w:left="284" w:hanging="284"/>
        <w:jc w:val="both"/>
        <w:rPr>
          <w:rFonts w:ascii="Verdana" w:eastAsia="Times New Roman" w:hAnsi="Verdana" w:cs="Arial"/>
          <w:snapToGrid w:val="0"/>
          <w:sz w:val="20"/>
          <w:szCs w:val="20"/>
          <w:lang w:val="es-MX" w:eastAsia="es-ES"/>
        </w:rPr>
      </w:pPr>
    </w:p>
    <w:p w14:paraId="62085742" w14:textId="00F56E34" w:rsidR="00A83C87" w:rsidRPr="00454E87" w:rsidRDefault="00A83C87" w:rsidP="00454E87">
      <w:pPr>
        <w:pStyle w:val="Prrafodelista"/>
        <w:numPr>
          <w:ilvl w:val="0"/>
          <w:numId w:val="28"/>
        </w:numPr>
        <w:ind w:left="567" w:hanging="283"/>
        <w:jc w:val="both"/>
        <w:rPr>
          <w:rFonts w:ascii="Verdana" w:eastAsia="Times New Roman" w:hAnsi="Verdana" w:cs="Arial"/>
          <w:b/>
          <w:snapToGrid w:val="0"/>
          <w:sz w:val="20"/>
          <w:szCs w:val="20"/>
          <w:lang w:val="es-MX" w:eastAsia="es-ES"/>
        </w:rPr>
      </w:pPr>
      <w:r w:rsidRPr="00454E87">
        <w:rPr>
          <w:rFonts w:ascii="Verdana" w:hAnsi="Verdana"/>
          <w:b/>
          <w:bCs/>
          <w:sz w:val="20"/>
          <w:szCs w:val="20"/>
        </w:rPr>
        <w:t xml:space="preserve">Riesgo </w:t>
      </w:r>
      <w:r w:rsidR="00454E87">
        <w:rPr>
          <w:rFonts w:ascii="Verdana" w:hAnsi="Verdana"/>
          <w:b/>
          <w:bCs/>
          <w:sz w:val="20"/>
          <w:szCs w:val="20"/>
        </w:rPr>
        <w:t>v</w:t>
      </w:r>
      <w:r w:rsidRPr="00454E87">
        <w:rPr>
          <w:rFonts w:ascii="Verdana" w:hAnsi="Verdana"/>
          <w:b/>
          <w:bCs/>
          <w:sz w:val="20"/>
          <w:szCs w:val="20"/>
        </w:rPr>
        <w:t>ega</w:t>
      </w:r>
    </w:p>
    <w:p w14:paraId="750871FD" w14:textId="184D7C3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06</w:t>
      </w:r>
      <w:r w:rsidRPr="000E0B7B">
        <w:rPr>
          <w:rFonts w:ascii="Verdana" w:hAnsi="Verdana"/>
          <w:sz w:val="20"/>
          <w:szCs w:val="20"/>
        </w:rPr>
        <w:t>.</w:t>
      </w:r>
    </w:p>
    <w:p w14:paraId="6009F024" w14:textId="77777777" w:rsidR="00A83C87"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El riesgo vega refleja la sensibilidad del valor de las posiciones en opciones con respecto a cambios en la volatilidad del valor del instrumento subyacente. El cargo de capital correspondiente a este tipo de riesgo es calculado como la suma de los impactos vega de cada opción.</w:t>
      </w:r>
    </w:p>
    <w:p w14:paraId="784E9162" w14:textId="77777777" w:rsidR="00A83C87" w:rsidRDefault="00A83C87" w:rsidP="00A83C87">
      <w:pPr>
        <w:spacing w:after="0" w:line="240" w:lineRule="auto"/>
        <w:ind w:hanging="284"/>
        <w:jc w:val="both"/>
        <w:rPr>
          <w:rFonts w:ascii="Verdana" w:eastAsia="Times New Roman" w:hAnsi="Verdana" w:cs="Arial"/>
          <w:snapToGrid w:val="0"/>
          <w:sz w:val="20"/>
          <w:szCs w:val="20"/>
          <w:lang w:val="es-MX" w:eastAsia="es-ES"/>
        </w:rPr>
      </w:pPr>
    </w:p>
    <w:p w14:paraId="792C438D" w14:textId="2A3A5F30"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07</w:t>
      </w:r>
      <w:r w:rsidRPr="000E0B7B">
        <w:rPr>
          <w:rFonts w:ascii="Verdana" w:hAnsi="Verdana"/>
          <w:sz w:val="20"/>
          <w:szCs w:val="20"/>
        </w:rPr>
        <w:t>.</w:t>
      </w:r>
    </w:p>
    <w:p w14:paraId="3228683E"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Estos impactos se calculan aplicando a la volatilidad del valor subyacente asociado un cambio de 25% positivo o negativo según sea la posición (corta o larga), sobre el factor vega correspondiente.</w:t>
      </w:r>
    </w:p>
    <w:p w14:paraId="07701AF2" w14:textId="77777777" w:rsidR="00A83C87" w:rsidRDefault="00A83C87" w:rsidP="00A83C87">
      <w:pPr>
        <w:spacing w:after="0" w:line="240" w:lineRule="auto"/>
        <w:jc w:val="both"/>
        <w:rPr>
          <w:rFonts w:ascii="Verdana" w:eastAsia="Times New Roman" w:hAnsi="Verdana" w:cs="Arial"/>
          <w:snapToGrid w:val="0"/>
          <w:sz w:val="20"/>
          <w:szCs w:val="20"/>
          <w:lang w:val="es-MX" w:eastAsia="es-ES"/>
        </w:rPr>
      </w:pPr>
    </w:p>
    <w:p w14:paraId="72C67BD2" w14:textId="412AF125"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08</w:t>
      </w:r>
      <w:r w:rsidRPr="000E0B7B">
        <w:rPr>
          <w:rFonts w:ascii="Verdana" w:hAnsi="Verdana"/>
          <w:sz w:val="20"/>
          <w:szCs w:val="20"/>
        </w:rPr>
        <w:t>.</w:t>
      </w:r>
    </w:p>
    <w:p w14:paraId="43891330"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El factor vega correspondiente mide el cambio del valor de la opción ante un cambio unitario en la volatilidad del valor del instrumento subyacente.</w:t>
      </w:r>
    </w:p>
    <w:p w14:paraId="7CB1E17D" w14:textId="77777777" w:rsidR="00A83C87" w:rsidRPr="009C60D9" w:rsidRDefault="00A83C87" w:rsidP="00A83C87">
      <w:pPr>
        <w:spacing w:after="0" w:line="240" w:lineRule="auto"/>
        <w:ind w:left="284" w:hanging="284"/>
        <w:jc w:val="both"/>
        <w:rPr>
          <w:rFonts w:ascii="Verdana" w:eastAsia="Times New Roman" w:hAnsi="Verdana" w:cs="Arial"/>
          <w:snapToGrid w:val="0"/>
          <w:sz w:val="20"/>
          <w:szCs w:val="20"/>
          <w:lang w:val="es-MX" w:eastAsia="es-ES"/>
        </w:rPr>
      </w:pPr>
    </w:p>
    <w:p w14:paraId="4F247C6F" w14:textId="3E6D073F"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09</w:t>
      </w:r>
      <w:r w:rsidRPr="000E0B7B">
        <w:rPr>
          <w:rFonts w:ascii="Verdana" w:hAnsi="Verdana"/>
          <w:sz w:val="20"/>
          <w:szCs w:val="20"/>
        </w:rPr>
        <w:t>.</w:t>
      </w:r>
    </w:p>
    <w:p w14:paraId="45C68A43" w14:textId="3B0D769E"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Para el cálculo de los factores de sensibilidad delta, gamma y vega, así como de las volatilidades de los subyacentes que se utilicen en el cálculo del riesgo vega, las instituciones financieras deben aplicar metodologías concordantes con los</w:t>
      </w:r>
      <w:r w:rsidRPr="009C60D9">
        <w:rPr>
          <w:rFonts w:ascii="Verdana" w:eastAsia="Times New Roman" w:hAnsi="Verdana" w:cs="Arial"/>
          <w:b/>
          <w:snapToGrid w:val="0"/>
          <w:sz w:val="20"/>
          <w:szCs w:val="20"/>
          <w:lang w:val="es-MX" w:eastAsia="es-ES"/>
        </w:rPr>
        <w:t xml:space="preserve"> </w:t>
      </w:r>
      <w:r w:rsidRPr="009C60D9">
        <w:rPr>
          <w:rFonts w:ascii="Verdana" w:eastAsia="Times New Roman" w:hAnsi="Verdana" w:cs="Arial"/>
          <w:snapToGrid w:val="0"/>
          <w:sz w:val="20"/>
          <w:szCs w:val="20"/>
          <w:lang w:val="es-MX" w:eastAsia="es-ES"/>
        </w:rPr>
        <w:t>modelos para</w:t>
      </w:r>
      <w:r w:rsidRPr="009C60D9">
        <w:rPr>
          <w:rFonts w:ascii="Verdana" w:eastAsia="Times New Roman" w:hAnsi="Verdana" w:cs="Arial"/>
          <w:b/>
          <w:snapToGrid w:val="0"/>
          <w:sz w:val="20"/>
          <w:szCs w:val="20"/>
          <w:lang w:val="es-MX" w:eastAsia="es-ES"/>
        </w:rPr>
        <w:t xml:space="preserve"> </w:t>
      </w:r>
      <w:r w:rsidRPr="009C60D9">
        <w:rPr>
          <w:rFonts w:ascii="Verdana" w:eastAsia="Times New Roman" w:hAnsi="Verdana" w:cs="Arial"/>
          <w:snapToGrid w:val="0"/>
          <w:sz w:val="20"/>
          <w:szCs w:val="20"/>
          <w:lang w:val="es-MX" w:eastAsia="es-ES"/>
        </w:rPr>
        <w:t>la valoración de dicho</w:t>
      </w:r>
      <w:r w:rsidRPr="00F32690">
        <w:rPr>
          <w:rFonts w:ascii="Verdana" w:eastAsia="Times New Roman" w:hAnsi="Verdana" w:cs="Arial"/>
          <w:snapToGrid w:val="0"/>
          <w:sz w:val="20"/>
          <w:szCs w:val="20"/>
          <w:lang w:val="es-MX" w:eastAsia="es-ES"/>
        </w:rPr>
        <w:t xml:space="preserve">s instrumentos, de acuerdo con lo estipulado en el </w:t>
      </w:r>
      <w:r w:rsidR="00F32690" w:rsidRPr="00F32690">
        <w:rPr>
          <w:rFonts w:ascii="Verdana" w:eastAsia="Times New Roman" w:hAnsi="Verdana" w:cs="Arial"/>
          <w:snapToGrid w:val="0"/>
          <w:sz w:val="20"/>
          <w:szCs w:val="20"/>
          <w:lang w:val="es-MX" w:eastAsia="es-ES"/>
        </w:rPr>
        <w:t xml:space="preserve">capítulo 5 de la parte 3 de la </w:t>
      </w:r>
      <w:r w:rsidR="008A1A25">
        <w:rPr>
          <w:rFonts w:ascii="Verdana" w:eastAsia="Times New Roman" w:hAnsi="Verdana" w:cs="Arial"/>
          <w:snapToGrid w:val="0"/>
          <w:sz w:val="20"/>
          <w:szCs w:val="20"/>
          <w:lang w:val="es-MX" w:eastAsia="es-ES"/>
        </w:rPr>
        <w:t>CBF</w:t>
      </w:r>
      <w:r w:rsidR="00F32690" w:rsidRPr="00F32690">
        <w:rPr>
          <w:rFonts w:ascii="Verdana" w:eastAsia="Times New Roman" w:hAnsi="Verdana" w:cs="Arial"/>
          <w:snapToGrid w:val="0"/>
          <w:sz w:val="20"/>
          <w:szCs w:val="20"/>
          <w:lang w:val="es-MX" w:eastAsia="es-ES"/>
        </w:rPr>
        <w:t>.</w:t>
      </w:r>
      <w:r w:rsidR="00F32690">
        <w:rPr>
          <w:rFonts w:ascii="Verdana" w:eastAsia="Times New Roman" w:hAnsi="Verdana" w:cs="Arial"/>
          <w:snapToGrid w:val="0"/>
          <w:sz w:val="20"/>
          <w:szCs w:val="20"/>
          <w:lang w:val="es-MX" w:eastAsia="es-ES"/>
        </w:rPr>
        <w:t xml:space="preserve"> </w:t>
      </w:r>
    </w:p>
    <w:p w14:paraId="6CB3014E"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5C657A2C" w14:textId="7B540C90" w:rsidR="00A83C87" w:rsidRPr="009C60D9" w:rsidRDefault="00A83C87" w:rsidP="00F63A78">
      <w:pPr>
        <w:jc w:val="both"/>
        <w:rPr>
          <w:rFonts w:ascii="Verdana" w:eastAsia="Times New Roman" w:hAnsi="Verdana" w:cs="Arial"/>
          <w:snapToGrid w:val="0"/>
          <w:sz w:val="20"/>
          <w:szCs w:val="20"/>
          <w:lang w:val="es-MX" w:eastAsia="es-ES"/>
        </w:rPr>
      </w:pPr>
      <w:r w:rsidRPr="000017F7">
        <w:rPr>
          <w:rFonts w:ascii="Verdana" w:hAnsi="Verdana"/>
          <w:b/>
          <w:bCs/>
          <w:sz w:val="20"/>
          <w:szCs w:val="20"/>
        </w:rPr>
        <w:t>Riesgo de derivados de crédito</w:t>
      </w:r>
    </w:p>
    <w:p w14:paraId="3C0CCD31" w14:textId="4C1989E9"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10</w:t>
      </w:r>
      <w:r w:rsidRPr="000E0B7B">
        <w:rPr>
          <w:rFonts w:ascii="Verdana" w:hAnsi="Verdana"/>
          <w:sz w:val="20"/>
          <w:szCs w:val="20"/>
        </w:rPr>
        <w:t>.</w:t>
      </w:r>
    </w:p>
    <w:p w14:paraId="52289728" w14:textId="77777777" w:rsidR="00A83C87" w:rsidRPr="00C943D5" w:rsidRDefault="00A83C87" w:rsidP="00A83C87">
      <w:pPr>
        <w:spacing w:after="0" w:line="240" w:lineRule="auto"/>
        <w:jc w:val="both"/>
        <w:rPr>
          <w:rFonts w:ascii="Verdana" w:eastAsia="Times New Roman" w:hAnsi="Verdana" w:cs="Arial"/>
          <w:snapToGrid w:val="0"/>
          <w:sz w:val="20"/>
          <w:szCs w:val="20"/>
          <w:lang w:val="es-MX" w:eastAsia="es-ES"/>
        </w:rPr>
      </w:pPr>
      <w:r w:rsidRPr="00C943D5">
        <w:rPr>
          <w:rFonts w:ascii="Verdana" w:eastAsia="Times New Roman" w:hAnsi="Verdana" w:cs="Arial"/>
          <w:snapToGrid w:val="0"/>
          <w:sz w:val="20"/>
          <w:szCs w:val="20"/>
          <w:lang w:val="es-MX" w:eastAsia="es-ES"/>
        </w:rPr>
        <w:t>Para las operaciones de derivados de crédito, el cálculo del riesgo busca capturar el riesgo asociado a movimientos adversos en el valor razonable de los derivados de crédito, y corresponde a la suma de las posiciones netas ponderadas en cada operación de derivados de crédito. La posición neta ponderada corresponde al producto de:</w:t>
      </w:r>
    </w:p>
    <w:p w14:paraId="7A3BC8DF" w14:textId="77777777" w:rsidR="00A83C87" w:rsidRPr="00C943D5" w:rsidRDefault="00A83C87" w:rsidP="00A83C87">
      <w:pPr>
        <w:spacing w:after="0" w:line="240" w:lineRule="auto"/>
        <w:jc w:val="both"/>
        <w:rPr>
          <w:rFonts w:ascii="Verdana" w:eastAsia="Times New Roman" w:hAnsi="Verdana" w:cs="Arial"/>
          <w:snapToGrid w:val="0"/>
          <w:sz w:val="20"/>
          <w:szCs w:val="20"/>
          <w:lang w:val="es-MX" w:eastAsia="es-ES"/>
        </w:rPr>
      </w:pPr>
    </w:p>
    <w:p w14:paraId="62961011" w14:textId="77777777" w:rsidR="00A83C87" w:rsidRPr="00C943D5" w:rsidRDefault="00A83C87" w:rsidP="000017F7">
      <w:pPr>
        <w:pStyle w:val="Prrafodelista"/>
        <w:numPr>
          <w:ilvl w:val="0"/>
          <w:numId w:val="26"/>
        </w:numPr>
        <w:spacing w:after="0" w:line="240" w:lineRule="auto"/>
        <w:ind w:left="567" w:hanging="567"/>
        <w:jc w:val="both"/>
        <w:rPr>
          <w:rFonts w:ascii="Verdana" w:eastAsia="Times New Roman" w:hAnsi="Verdana" w:cs="Arial"/>
          <w:snapToGrid w:val="0"/>
          <w:sz w:val="20"/>
          <w:szCs w:val="20"/>
          <w:lang w:val="es-MX" w:eastAsia="es-ES"/>
        </w:rPr>
      </w:pPr>
      <w:r w:rsidRPr="00C943D5">
        <w:rPr>
          <w:rFonts w:ascii="Verdana" w:eastAsia="Times New Roman" w:hAnsi="Verdana" w:cs="Arial"/>
          <w:snapToGrid w:val="0"/>
          <w:sz w:val="20"/>
          <w:szCs w:val="20"/>
          <w:lang w:val="es-MX" w:eastAsia="es-ES"/>
        </w:rPr>
        <w:t>La posición neta de cada derivado de crédito.</w:t>
      </w:r>
    </w:p>
    <w:p w14:paraId="31F33C29" w14:textId="77777777" w:rsidR="00A83C87" w:rsidRPr="00C943D5" w:rsidRDefault="00A83C87" w:rsidP="00A83C87">
      <w:pPr>
        <w:spacing w:after="0" w:line="240" w:lineRule="auto"/>
        <w:ind w:left="567" w:hanging="567"/>
        <w:jc w:val="both"/>
        <w:rPr>
          <w:rFonts w:ascii="Verdana" w:eastAsia="Times New Roman" w:hAnsi="Verdana" w:cs="Arial"/>
          <w:snapToGrid w:val="0"/>
          <w:sz w:val="20"/>
          <w:szCs w:val="20"/>
          <w:lang w:val="es-MX" w:eastAsia="es-ES"/>
        </w:rPr>
      </w:pPr>
    </w:p>
    <w:p w14:paraId="5B57BE85" w14:textId="77777777" w:rsidR="00A83C87" w:rsidRPr="00C943D5" w:rsidRDefault="00A83C87" w:rsidP="000017F7">
      <w:pPr>
        <w:pStyle w:val="Prrafodelista"/>
        <w:numPr>
          <w:ilvl w:val="0"/>
          <w:numId w:val="26"/>
        </w:numPr>
        <w:spacing w:after="0" w:line="240" w:lineRule="auto"/>
        <w:ind w:left="567" w:hanging="567"/>
        <w:jc w:val="both"/>
        <w:rPr>
          <w:rFonts w:ascii="Verdana" w:eastAsia="Times New Roman" w:hAnsi="Verdana" w:cs="Arial"/>
          <w:snapToGrid w:val="0"/>
          <w:sz w:val="20"/>
          <w:szCs w:val="20"/>
          <w:lang w:val="es-MX" w:eastAsia="es-ES"/>
        </w:rPr>
      </w:pPr>
      <w:r w:rsidRPr="00C943D5">
        <w:rPr>
          <w:rFonts w:ascii="Verdana" w:eastAsia="Times New Roman" w:hAnsi="Verdana" w:cs="Arial"/>
          <w:snapToGrid w:val="0"/>
          <w:sz w:val="20"/>
          <w:szCs w:val="20"/>
          <w:lang w:val="es-MX" w:eastAsia="es-ES"/>
        </w:rPr>
        <w:t>El factor de sensibilidad al riesgo general de los derivados de crédito publicado por la SFC.</w:t>
      </w:r>
    </w:p>
    <w:p w14:paraId="5034D50C" w14:textId="77777777" w:rsidR="00A83C87" w:rsidRPr="00C943D5" w:rsidRDefault="00A83C87" w:rsidP="00A83C87">
      <w:pPr>
        <w:spacing w:after="0" w:line="240" w:lineRule="auto"/>
        <w:jc w:val="both"/>
        <w:rPr>
          <w:rFonts w:ascii="Verdana" w:eastAsia="Times New Roman" w:hAnsi="Verdana" w:cs="Arial"/>
          <w:snapToGrid w:val="0"/>
          <w:sz w:val="20"/>
          <w:szCs w:val="20"/>
          <w:lang w:val="es-MX" w:eastAsia="es-ES"/>
        </w:rPr>
      </w:pPr>
    </w:p>
    <w:p w14:paraId="15DE1A4F" w14:textId="76CB1B83"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11</w:t>
      </w:r>
      <w:r w:rsidRPr="000E0B7B">
        <w:rPr>
          <w:rFonts w:ascii="Verdana" w:hAnsi="Verdana"/>
          <w:sz w:val="20"/>
          <w:szCs w:val="20"/>
        </w:rPr>
        <w:t>.</w:t>
      </w:r>
    </w:p>
    <w:p w14:paraId="04A4003A" w14:textId="06FD74A7" w:rsidR="00A83C87" w:rsidRPr="00C943D5" w:rsidRDefault="00A83C87" w:rsidP="00A83C87">
      <w:pPr>
        <w:spacing w:after="0" w:line="240" w:lineRule="auto"/>
        <w:jc w:val="both"/>
        <w:rPr>
          <w:rFonts w:ascii="Verdana" w:eastAsia="Times New Roman" w:hAnsi="Verdana" w:cs="Arial"/>
          <w:snapToGrid w:val="0"/>
          <w:sz w:val="20"/>
          <w:szCs w:val="20"/>
          <w:lang w:val="es-ES" w:eastAsia="es-ES"/>
        </w:rPr>
      </w:pPr>
      <w:r w:rsidRPr="00C943D5">
        <w:rPr>
          <w:rFonts w:ascii="Verdana" w:eastAsia="Times New Roman" w:hAnsi="Verdana" w:cs="Arial"/>
          <w:snapToGrid w:val="0"/>
          <w:sz w:val="20"/>
          <w:szCs w:val="20"/>
          <w:lang w:val="es-MX" w:eastAsia="es-ES"/>
        </w:rPr>
        <w:t xml:space="preserve">Cuando se trate de derivados de crédito que, de acuerdo con su valoración, no puedan descomponerse y se asemejen en su </w:t>
      </w:r>
      <w:r w:rsidRPr="00583270">
        <w:rPr>
          <w:rFonts w:ascii="Verdana" w:eastAsia="Times New Roman" w:hAnsi="Verdana" w:cs="Arial"/>
          <w:snapToGrid w:val="0"/>
          <w:sz w:val="20"/>
          <w:szCs w:val="20"/>
          <w:lang w:val="es-MX" w:eastAsia="es-ES"/>
        </w:rPr>
        <w:t>comportamiento y estructura a una opción, el riesgo de mercado deberá calcularse de acuerdo con las reglas contenidas en</w:t>
      </w:r>
      <w:r w:rsidR="005B53F4" w:rsidRPr="00583270">
        <w:rPr>
          <w:rFonts w:ascii="Verdana" w:eastAsia="Times New Roman" w:hAnsi="Verdana" w:cs="Arial"/>
          <w:snapToGrid w:val="0"/>
          <w:sz w:val="20"/>
          <w:szCs w:val="20"/>
          <w:lang w:val="es-MX" w:eastAsia="es-ES"/>
        </w:rPr>
        <w:t>tre los párrafos 1.1.A8.96. y 1.1.A8.109.</w:t>
      </w:r>
    </w:p>
    <w:p w14:paraId="5D70A663" w14:textId="77777777" w:rsidR="008A1A25" w:rsidRDefault="008A1A25" w:rsidP="00A83C87">
      <w:pPr>
        <w:spacing w:after="0" w:line="240" w:lineRule="auto"/>
        <w:contextualSpacing/>
        <w:jc w:val="both"/>
        <w:rPr>
          <w:rFonts w:ascii="Verdana" w:eastAsia="Times New Roman" w:hAnsi="Verdana" w:cs="Arial"/>
          <w:snapToGrid w:val="0"/>
          <w:sz w:val="20"/>
          <w:szCs w:val="20"/>
          <w:lang w:val="es-MX" w:eastAsia="es-ES"/>
        </w:rPr>
      </w:pPr>
    </w:p>
    <w:p w14:paraId="31943B6E" w14:textId="4830D717" w:rsidR="00A83C87" w:rsidRPr="009C60D9" w:rsidRDefault="00A83C87" w:rsidP="00F63A78">
      <w:pPr>
        <w:jc w:val="both"/>
        <w:rPr>
          <w:rFonts w:ascii="Verdana" w:eastAsia="Times New Roman" w:hAnsi="Verdana" w:cs="Arial"/>
          <w:snapToGrid w:val="0"/>
          <w:sz w:val="20"/>
          <w:szCs w:val="20"/>
          <w:lang w:val="es-MX" w:eastAsia="es-ES"/>
        </w:rPr>
      </w:pPr>
      <w:r w:rsidRPr="000017F7">
        <w:rPr>
          <w:rFonts w:ascii="Verdana" w:hAnsi="Verdana"/>
          <w:b/>
          <w:bCs/>
          <w:sz w:val="20"/>
          <w:szCs w:val="20"/>
        </w:rPr>
        <w:t xml:space="preserve">Cálculo </w:t>
      </w:r>
      <w:r w:rsidR="009B7122">
        <w:rPr>
          <w:rFonts w:ascii="Verdana" w:hAnsi="Verdana"/>
          <w:b/>
          <w:bCs/>
          <w:sz w:val="20"/>
          <w:szCs w:val="20"/>
        </w:rPr>
        <w:t xml:space="preserve">de la </w:t>
      </w:r>
      <w:r w:rsidRPr="000017F7">
        <w:rPr>
          <w:rFonts w:ascii="Verdana" w:hAnsi="Verdana"/>
          <w:b/>
          <w:bCs/>
          <w:sz w:val="20"/>
          <w:szCs w:val="20"/>
        </w:rPr>
        <w:t>exposición total a los riesgos de mercado con el modelo estándar</w:t>
      </w:r>
    </w:p>
    <w:p w14:paraId="1EB8B85D" w14:textId="1D90EF5D"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12</w:t>
      </w:r>
      <w:r w:rsidRPr="000E0B7B">
        <w:rPr>
          <w:rFonts w:ascii="Verdana" w:hAnsi="Verdana"/>
          <w:sz w:val="20"/>
          <w:szCs w:val="20"/>
        </w:rPr>
        <w:t>.</w:t>
      </w:r>
    </w:p>
    <w:p w14:paraId="2F85939D" w14:textId="47F2C0CB"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Con el fin de calcular la exposición total a los riesgos de mercado, las entidades a que hace referencia el presente anexo deben sumar las exposiciones obtenidas para cada uno de los módulos de la metodología estandarizada</w:t>
      </w:r>
      <w:r w:rsidR="00433238">
        <w:rPr>
          <w:rFonts w:ascii="Verdana" w:eastAsia="Times New Roman" w:hAnsi="Verdana" w:cs="Arial"/>
          <w:snapToGrid w:val="0"/>
          <w:sz w:val="20"/>
          <w:szCs w:val="20"/>
          <w:lang w:val="es-MX" w:eastAsia="es-ES"/>
        </w:rPr>
        <w:t>.</w:t>
      </w:r>
    </w:p>
    <w:p w14:paraId="67E33806" w14:textId="77777777" w:rsidR="009B7122" w:rsidRPr="009C60D9" w:rsidRDefault="009B7122" w:rsidP="00A83C87">
      <w:pPr>
        <w:spacing w:after="0" w:line="240" w:lineRule="auto"/>
        <w:jc w:val="both"/>
        <w:rPr>
          <w:rFonts w:ascii="Verdana" w:eastAsia="Times New Roman" w:hAnsi="Verdana" w:cs="Arial"/>
          <w:snapToGrid w:val="0"/>
          <w:sz w:val="20"/>
          <w:szCs w:val="20"/>
          <w:lang w:val="es-MX" w:eastAsia="es-ES"/>
        </w:rPr>
      </w:pPr>
    </w:p>
    <w:p w14:paraId="770439F1" w14:textId="66620F45"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13</w:t>
      </w:r>
      <w:r w:rsidRPr="000E0B7B">
        <w:rPr>
          <w:rFonts w:ascii="Verdana" w:hAnsi="Verdana"/>
          <w:sz w:val="20"/>
          <w:szCs w:val="20"/>
        </w:rPr>
        <w:t>.</w:t>
      </w:r>
    </w:p>
    <w:p w14:paraId="782FCDCE"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El monto obtenido siguiendo este procedimiento, corresponde al valor de la exposición por riesgo de mercado aplicable al cálculo del patrimonio adecuado de las entidades de seguros generales de conformidad con lo dispuesto en el artículo 2.31.1.2.10 del Decreto 2555 de 2010 o demás normas que lo sustituyan, modifiquen o subroguen.</w:t>
      </w:r>
    </w:p>
    <w:p w14:paraId="5CF75065" w14:textId="77777777" w:rsidR="00A83C87" w:rsidRDefault="00A83C87" w:rsidP="00A83C87">
      <w:pPr>
        <w:spacing w:after="0" w:line="240" w:lineRule="auto"/>
        <w:contextualSpacing/>
        <w:jc w:val="both"/>
        <w:rPr>
          <w:rFonts w:ascii="Verdana" w:eastAsia="Times New Roman" w:hAnsi="Verdana" w:cs="Arial"/>
          <w:snapToGrid w:val="0"/>
          <w:sz w:val="20"/>
          <w:szCs w:val="20"/>
          <w:lang w:val="es-MX" w:eastAsia="es-ES"/>
        </w:rPr>
      </w:pPr>
    </w:p>
    <w:p w14:paraId="6172BDBF" w14:textId="102174B9" w:rsidR="00A83C87" w:rsidRPr="009C60D9" w:rsidRDefault="00A83C87" w:rsidP="00F63A78">
      <w:pPr>
        <w:jc w:val="both"/>
        <w:rPr>
          <w:rFonts w:ascii="Verdana" w:eastAsia="Times New Roman" w:hAnsi="Verdana" w:cs="Arial"/>
          <w:snapToGrid w:val="0"/>
          <w:sz w:val="20"/>
          <w:szCs w:val="20"/>
          <w:lang w:val="es-MX" w:eastAsia="es-ES"/>
        </w:rPr>
      </w:pPr>
      <w:r w:rsidRPr="000017F7">
        <w:rPr>
          <w:rFonts w:ascii="Verdana" w:hAnsi="Verdana"/>
          <w:b/>
          <w:bCs/>
          <w:sz w:val="20"/>
          <w:szCs w:val="20"/>
        </w:rPr>
        <w:t>Reglas relativas a la medición de riesgos de mercado a través de modelos internos para entidades de seguros generales</w:t>
      </w:r>
    </w:p>
    <w:p w14:paraId="09E63902" w14:textId="4EB236CC"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14</w:t>
      </w:r>
      <w:r w:rsidRPr="000E0B7B">
        <w:rPr>
          <w:rFonts w:ascii="Verdana" w:hAnsi="Verdana"/>
          <w:sz w:val="20"/>
          <w:szCs w:val="20"/>
        </w:rPr>
        <w:t>.</w:t>
      </w:r>
    </w:p>
    <w:p w14:paraId="6025B56D" w14:textId="51FE1E02"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Las entidades de seguros generales que de acuerdo con lo señalado en </w:t>
      </w:r>
      <w:r w:rsidRPr="005302A2">
        <w:rPr>
          <w:rFonts w:ascii="Verdana" w:eastAsia="Times New Roman" w:hAnsi="Verdana" w:cs="Arial"/>
          <w:snapToGrid w:val="0"/>
          <w:sz w:val="20"/>
          <w:szCs w:val="20"/>
          <w:lang w:val="es-MX" w:eastAsia="es-ES"/>
        </w:rPr>
        <w:t>el presente Capítulo puedan adoptar</w:t>
      </w:r>
      <w:r w:rsidRPr="009C60D9">
        <w:rPr>
          <w:rFonts w:ascii="Verdana" w:eastAsia="Times New Roman" w:hAnsi="Verdana" w:cs="Arial"/>
          <w:snapToGrid w:val="0"/>
          <w:sz w:val="20"/>
          <w:szCs w:val="20"/>
          <w:lang w:val="es-MX" w:eastAsia="es-ES"/>
        </w:rPr>
        <w:t xml:space="preserve"> modelos internos para la medición de los riesgos de mercado, deben tener en cuenta en su diseño los parámetros mínimos establecidos en el presente numeral, de acuerdo con lo establecido </w:t>
      </w:r>
      <w:r w:rsidR="00433238">
        <w:rPr>
          <w:rFonts w:ascii="Verdana" w:eastAsia="Times New Roman" w:hAnsi="Verdana" w:cs="Arial"/>
          <w:snapToGrid w:val="0"/>
          <w:sz w:val="20"/>
          <w:szCs w:val="20"/>
          <w:lang w:val="es-MX" w:eastAsia="es-ES"/>
        </w:rPr>
        <w:t xml:space="preserve">en la sección 3 del capítulo 1 de la parte 1 de la CBF. </w:t>
      </w:r>
    </w:p>
    <w:p w14:paraId="21ADFD2D"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2AD67460" w14:textId="42C2FA5E" w:rsidR="00A83C87" w:rsidRPr="000E0B7B" w:rsidRDefault="00A83C87" w:rsidP="00A83C8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15</w:t>
      </w:r>
      <w:r w:rsidRPr="000E0B7B">
        <w:rPr>
          <w:rFonts w:ascii="Verdana" w:hAnsi="Verdana"/>
          <w:sz w:val="20"/>
          <w:szCs w:val="20"/>
        </w:rPr>
        <w:t>.</w:t>
      </w:r>
    </w:p>
    <w:p w14:paraId="6C848A17" w14:textId="77777777" w:rsidR="00F63A78" w:rsidRDefault="00A83C87" w:rsidP="00F63A78">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En todo caso, hasta tanto no cuenten con </w:t>
      </w:r>
      <w:r w:rsidRPr="009C60D9">
        <w:rPr>
          <w:rFonts w:ascii="Verdana" w:eastAsia="Times New Roman" w:hAnsi="Verdana" w:cs="Arial"/>
          <w:snapToGrid w:val="0"/>
          <w:sz w:val="20"/>
          <w:szCs w:val="20"/>
          <w:lang w:val="es-ES_tradnl" w:eastAsia="es-ES"/>
        </w:rPr>
        <w:t>el pronunciamiento de no objeción de los</w:t>
      </w:r>
      <w:r w:rsidRPr="009C60D9">
        <w:rPr>
          <w:rFonts w:ascii="Verdana" w:eastAsia="Times New Roman" w:hAnsi="Verdana" w:cs="Arial"/>
          <w:snapToGrid w:val="0"/>
          <w:sz w:val="20"/>
          <w:szCs w:val="20"/>
          <w:lang w:val="es-MX" w:eastAsia="es-ES"/>
        </w:rPr>
        <w:t xml:space="preserve"> modelos internos presentados a la SFC, tales entidades deben utilizar el modelo estándar para la medición de sus exposiciones a los riesgos de mercado.</w:t>
      </w:r>
    </w:p>
    <w:p w14:paraId="6053F93C" w14:textId="77777777" w:rsidR="00F63A78" w:rsidRDefault="00F63A78" w:rsidP="00F63A78">
      <w:pPr>
        <w:spacing w:after="0" w:line="240" w:lineRule="auto"/>
        <w:jc w:val="both"/>
        <w:rPr>
          <w:rFonts w:ascii="Verdana" w:eastAsia="Times New Roman" w:hAnsi="Verdana" w:cs="Arial"/>
          <w:snapToGrid w:val="0"/>
          <w:sz w:val="20"/>
          <w:szCs w:val="20"/>
          <w:lang w:val="es-MX" w:eastAsia="es-ES"/>
        </w:rPr>
      </w:pPr>
    </w:p>
    <w:p w14:paraId="7F67B041" w14:textId="5A1961FE" w:rsidR="00A83C87" w:rsidRPr="000E0B7B" w:rsidRDefault="00A83C87" w:rsidP="00F63A78">
      <w:pPr>
        <w:spacing w:after="0" w:line="240" w:lineRule="auto"/>
        <w:jc w:val="both"/>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16</w:t>
      </w:r>
      <w:r w:rsidRPr="000E0B7B">
        <w:rPr>
          <w:rFonts w:ascii="Verdana" w:hAnsi="Verdana"/>
          <w:sz w:val="20"/>
          <w:szCs w:val="20"/>
        </w:rPr>
        <w:t>.</w:t>
      </w:r>
    </w:p>
    <w:p w14:paraId="37FE4940" w14:textId="0485D235"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r w:rsidRPr="009C60D9">
        <w:rPr>
          <w:rFonts w:ascii="Verdana" w:eastAsia="Times New Roman" w:hAnsi="Verdana" w:cs="Arial"/>
          <w:snapToGrid w:val="0"/>
          <w:sz w:val="20"/>
          <w:szCs w:val="20"/>
          <w:lang w:val="es-MX" w:eastAsia="es-ES"/>
        </w:rPr>
        <w:t xml:space="preserve">Sin perjuicio de lo anterior, todas las entidades a </w:t>
      </w:r>
      <w:r w:rsidRPr="007973CC">
        <w:rPr>
          <w:rFonts w:ascii="Verdana" w:eastAsia="Times New Roman" w:hAnsi="Verdana" w:cs="Arial"/>
          <w:snapToGrid w:val="0"/>
          <w:sz w:val="20"/>
          <w:szCs w:val="20"/>
          <w:lang w:val="es-MX" w:eastAsia="es-ES"/>
        </w:rPr>
        <w:t xml:space="preserve">que se refiere </w:t>
      </w:r>
      <w:r w:rsidR="00F24836" w:rsidRPr="007973CC">
        <w:rPr>
          <w:rFonts w:ascii="Verdana" w:eastAsia="Times New Roman" w:hAnsi="Verdana" w:cs="Arial"/>
          <w:snapToGrid w:val="0"/>
          <w:sz w:val="20"/>
          <w:szCs w:val="20"/>
          <w:lang w:val="es-MX" w:eastAsia="es-ES"/>
        </w:rPr>
        <w:t>el párraf</w:t>
      </w:r>
      <w:r w:rsidR="007973CC" w:rsidRPr="007973CC">
        <w:rPr>
          <w:rFonts w:ascii="Verdana" w:eastAsia="Times New Roman" w:hAnsi="Verdana" w:cs="Arial"/>
          <w:snapToGrid w:val="0"/>
          <w:sz w:val="20"/>
          <w:szCs w:val="20"/>
          <w:lang w:val="es-MX" w:eastAsia="es-ES"/>
        </w:rPr>
        <w:t>o</w:t>
      </w:r>
      <w:r w:rsidR="00F24836" w:rsidRPr="007973CC">
        <w:rPr>
          <w:rFonts w:ascii="Verdana" w:eastAsia="Times New Roman" w:hAnsi="Verdana" w:cs="Arial"/>
          <w:snapToGrid w:val="0"/>
          <w:sz w:val="20"/>
          <w:szCs w:val="20"/>
          <w:lang w:val="es-MX" w:eastAsia="es-ES"/>
        </w:rPr>
        <w:t xml:space="preserve"> 1.1.A8.114. </w:t>
      </w:r>
      <w:r w:rsidRPr="007973CC">
        <w:rPr>
          <w:rFonts w:ascii="Verdana" w:eastAsia="Times New Roman" w:hAnsi="Verdana" w:cs="Arial"/>
          <w:snapToGrid w:val="0"/>
          <w:sz w:val="20"/>
          <w:szCs w:val="20"/>
          <w:lang w:val="es-MX" w:eastAsia="es-ES"/>
        </w:rPr>
        <w:t>deben estar en capacidad de reportar el valor que resultaría de calcular la exposición a riesgos de mercado utilizando la metodología estandarizada.</w:t>
      </w:r>
    </w:p>
    <w:p w14:paraId="314CE47B" w14:textId="77777777" w:rsidR="00A83C87" w:rsidRPr="009C60D9" w:rsidRDefault="00A83C87" w:rsidP="00A83C87">
      <w:pPr>
        <w:spacing w:after="0" w:line="240" w:lineRule="auto"/>
        <w:jc w:val="both"/>
        <w:rPr>
          <w:rFonts w:ascii="Verdana" w:eastAsia="Times New Roman" w:hAnsi="Verdana" w:cs="Arial"/>
          <w:snapToGrid w:val="0"/>
          <w:sz w:val="20"/>
          <w:szCs w:val="20"/>
          <w:lang w:val="es-MX" w:eastAsia="es-ES"/>
        </w:rPr>
      </w:pPr>
    </w:p>
    <w:p w14:paraId="30768BA1" w14:textId="2E717D56" w:rsidR="00A83C87" w:rsidRPr="009C60D9" w:rsidRDefault="00AA3047" w:rsidP="00F63A78">
      <w:pPr>
        <w:jc w:val="both"/>
        <w:rPr>
          <w:rFonts w:ascii="Verdana" w:eastAsia="Times New Roman" w:hAnsi="Verdana" w:cs="Arial"/>
          <w:bCs/>
          <w:sz w:val="20"/>
          <w:szCs w:val="20"/>
          <w:lang w:val="es-MX" w:eastAsia="es-ES"/>
        </w:rPr>
      </w:pPr>
      <w:r w:rsidRPr="000017F7">
        <w:rPr>
          <w:rFonts w:ascii="Verdana" w:hAnsi="Verdana"/>
          <w:b/>
          <w:bCs/>
          <w:sz w:val="20"/>
          <w:szCs w:val="20"/>
        </w:rPr>
        <w:t xml:space="preserve">REGLAS RELATIVAS A LOS REPORTES DE INFORMACIÓN </w:t>
      </w:r>
    </w:p>
    <w:p w14:paraId="37EC8481" w14:textId="3D9F17F9" w:rsidR="00A83C87" w:rsidRPr="005302A2" w:rsidRDefault="00A83C87" w:rsidP="005302A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A8</w:t>
      </w:r>
      <w:r w:rsidRPr="000E0B7B">
        <w:rPr>
          <w:rFonts w:ascii="Verdana" w:hAnsi="Verdana"/>
          <w:sz w:val="20"/>
          <w:szCs w:val="20"/>
        </w:rPr>
        <w:t>.</w:t>
      </w:r>
      <w:r>
        <w:rPr>
          <w:rFonts w:ascii="Verdana" w:hAnsi="Verdana"/>
          <w:sz w:val="20"/>
          <w:szCs w:val="20"/>
        </w:rPr>
        <w:t>1</w:t>
      </w:r>
      <w:r w:rsidR="00947CD7">
        <w:rPr>
          <w:rFonts w:ascii="Verdana" w:hAnsi="Verdana"/>
          <w:sz w:val="20"/>
          <w:szCs w:val="20"/>
        </w:rPr>
        <w:t>17</w:t>
      </w:r>
      <w:r w:rsidRPr="000E0B7B">
        <w:rPr>
          <w:rFonts w:ascii="Verdana" w:hAnsi="Verdana"/>
          <w:sz w:val="20"/>
          <w:szCs w:val="20"/>
        </w:rPr>
        <w:t>.</w:t>
      </w:r>
    </w:p>
    <w:p w14:paraId="07A41512" w14:textId="77777777" w:rsidR="00A83C87" w:rsidRPr="009C60D9" w:rsidRDefault="00A83C87" w:rsidP="00A83C87">
      <w:pPr>
        <w:spacing w:after="0" w:line="240" w:lineRule="auto"/>
        <w:jc w:val="both"/>
        <w:rPr>
          <w:rFonts w:ascii="Verdana" w:hAnsi="Verdana" w:cs="Arial"/>
          <w:snapToGrid w:val="0"/>
          <w:sz w:val="20"/>
          <w:szCs w:val="20"/>
          <w:lang w:val="es-MX"/>
        </w:rPr>
      </w:pPr>
      <w:r w:rsidRPr="009C60D9">
        <w:rPr>
          <w:rFonts w:ascii="Verdana" w:eastAsia="Times New Roman" w:hAnsi="Verdana" w:cs="Arial"/>
          <w:snapToGrid w:val="0"/>
          <w:sz w:val="20"/>
          <w:szCs w:val="20"/>
          <w:lang w:val="es-MX" w:eastAsia="es-ES"/>
        </w:rPr>
        <w:t>Los resultados de la medición de riesgos de mercado deben reportarse a la SFC con la periodicidad establecida en los formatos previstos para este propósito.</w:t>
      </w:r>
    </w:p>
    <w:p w14:paraId="07FAC736" w14:textId="77777777" w:rsidR="007A4231" w:rsidRDefault="007A4231" w:rsidP="0055785C">
      <w:pPr>
        <w:spacing w:after="0"/>
        <w:rPr>
          <w:rFonts w:ascii="Verdana" w:hAnsi="Verdana"/>
          <w:sz w:val="20"/>
          <w:szCs w:val="20"/>
        </w:rPr>
      </w:pPr>
    </w:p>
    <w:sectPr w:rsidR="007A4231"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9841" w14:textId="77777777" w:rsidR="004A6B7F" w:rsidRDefault="004A6B7F" w:rsidP="00057BF6">
      <w:pPr>
        <w:spacing w:after="0" w:line="240" w:lineRule="auto"/>
      </w:pPr>
      <w:r>
        <w:separator/>
      </w:r>
    </w:p>
  </w:endnote>
  <w:endnote w:type="continuationSeparator" w:id="0">
    <w:p w14:paraId="2FDBF0C1" w14:textId="77777777" w:rsidR="004A6B7F" w:rsidRDefault="004A6B7F"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96A4E" w14:textId="77777777" w:rsidR="004A6B7F" w:rsidRDefault="004A6B7F" w:rsidP="00057BF6">
      <w:pPr>
        <w:spacing w:after="0" w:line="240" w:lineRule="auto"/>
      </w:pPr>
      <w:r>
        <w:separator/>
      </w:r>
    </w:p>
  </w:footnote>
  <w:footnote w:type="continuationSeparator" w:id="0">
    <w:p w14:paraId="665A6E7E" w14:textId="77777777" w:rsidR="004A6B7F" w:rsidRDefault="004A6B7F"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82F2A88"/>
    <w:multiLevelType w:val="hybridMultilevel"/>
    <w:tmpl w:val="D1A05D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6B1D7A"/>
    <w:multiLevelType w:val="hybridMultilevel"/>
    <w:tmpl w:val="34783668"/>
    <w:lvl w:ilvl="0" w:tplc="240A0019">
      <w:start w:val="1"/>
      <w:numFmt w:val="low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3" w15:restartNumberingAfterBreak="0">
    <w:nsid w:val="0FA152C3"/>
    <w:multiLevelType w:val="hybridMultilevel"/>
    <w:tmpl w:val="B484B7C2"/>
    <w:lvl w:ilvl="0" w:tplc="240A0019">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 w15:restartNumberingAfterBreak="0">
    <w:nsid w:val="12CB30D1"/>
    <w:multiLevelType w:val="hybridMultilevel"/>
    <w:tmpl w:val="40964560"/>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7B1B08"/>
    <w:multiLevelType w:val="hybridMultilevel"/>
    <w:tmpl w:val="4A8A0122"/>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D670F5"/>
    <w:multiLevelType w:val="hybridMultilevel"/>
    <w:tmpl w:val="E7ECDD86"/>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D27A8F"/>
    <w:multiLevelType w:val="hybridMultilevel"/>
    <w:tmpl w:val="C9C05A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E34CEF"/>
    <w:multiLevelType w:val="hybridMultilevel"/>
    <w:tmpl w:val="2D78C628"/>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5A42E7"/>
    <w:multiLevelType w:val="hybridMultilevel"/>
    <w:tmpl w:val="B440A8E2"/>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F0143"/>
    <w:multiLevelType w:val="hybridMultilevel"/>
    <w:tmpl w:val="CA96868A"/>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D3171"/>
    <w:multiLevelType w:val="hybridMultilevel"/>
    <w:tmpl w:val="01D0CE6A"/>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409A8"/>
    <w:multiLevelType w:val="hybridMultilevel"/>
    <w:tmpl w:val="931296F0"/>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400819"/>
    <w:multiLevelType w:val="hybridMultilevel"/>
    <w:tmpl w:val="74DA65B4"/>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691974"/>
    <w:multiLevelType w:val="hybridMultilevel"/>
    <w:tmpl w:val="05A04BC8"/>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C96D58"/>
    <w:multiLevelType w:val="hybridMultilevel"/>
    <w:tmpl w:val="A992BA42"/>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E81D5E"/>
    <w:multiLevelType w:val="hybridMultilevel"/>
    <w:tmpl w:val="10828E50"/>
    <w:lvl w:ilvl="0" w:tplc="240A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C60781"/>
    <w:multiLevelType w:val="hybridMultilevel"/>
    <w:tmpl w:val="AF085B24"/>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8509B2"/>
    <w:multiLevelType w:val="hybridMultilevel"/>
    <w:tmpl w:val="05BA0D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85B0752"/>
    <w:multiLevelType w:val="hybridMultilevel"/>
    <w:tmpl w:val="9F7283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4B7162"/>
    <w:multiLevelType w:val="hybridMultilevel"/>
    <w:tmpl w:val="0B843D5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60245C6"/>
    <w:multiLevelType w:val="hybridMultilevel"/>
    <w:tmpl w:val="DC8ED1C8"/>
    <w:lvl w:ilvl="0" w:tplc="240A0019">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650E25B2"/>
    <w:multiLevelType w:val="hybridMultilevel"/>
    <w:tmpl w:val="8AE857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6EC44CA"/>
    <w:multiLevelType w:val="hybridMultilevel"/>
    <w:tmpl w:val="D33887F2"/>
    <w:lvl w:ilvl="0" w:tplc="240A0019">
      <w:start w:val="1"/>
      <w:numFmt w:val="lowerLetter"/>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6B455F"/>
    <w:multiLevelType w:val="hybridMultilevel"/>
    <w:tmpl w:val="248422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170DCA"/>
    <w:multiLevelType w:val="hybridMultilevel"/>
    <w:tmpl w:val="D1A8AD18"/>
    <w:lvl w:ilvl="0" w:tplc="240A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E53A2C"/>
    <w:multiLevelType w:val="hybridMultilevel"/>
    <w:tmpl w:val="4E22EF9C"/>
    <w:lvl w:ilvl="0" w:tplc="240A0003">
      <w:start w:val="1"/>
      <w:numFmt w:val="bullet"/>
      <w:lvlText w:val="o"/>
      <w:lvlJc w:val="left"/>
      <w:pPr>
        <w:ind w:left="720" w:hanging="360"/>
      </w:pPr>
      <w:rPr>
        <w:rFonts w:ascii="Courier New" w:hAnsi="Courier New" w:cs="Courier New" w:hint="default"/>
      </w:rPr>
    </w:lvl>
    <w:lvl w:ilvl="1" w:tplc="240A0005">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28353ED"/>
    <w:multiLevelType w:val="hybridMultilevel"/>
    <w:tmpl w:val="E5CC59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B42181"/>
    <w:multiLevelType w:val="hybridMultilevel"/>
    <w:tmpl w:val="F5EE512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CC53EB"/>
    <w:multiLevelType w:val="hybridMultilevel"/>
    <w:tmpl w:val="39CE013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29"/>
  </w:num>
  <w:num w:numId="2" w16cid:durableId="1362513633">
    <w:abstractNumId w:val="0"/>
  </w:num>
  <w:num w:numId="3" w16cid:durableId="2139297558">
    <w:abstractNumId w:val="7"/>
  </w:num>
  <w:num w:numId="4" w16cid:durableId="1605260153">
    <w:abstractNumId w:val="2"/>
  </w:num>
  <w:num w:numId="5" w16cid:durableId="161505388">
    <w:abstractNumId w:val="10"/>
  </w:num>
  <w:num w:numId="6" w16cid:durableId="2039352107">
    <w:abstractNumId w:val="4"/>
  </w:num>
  <w:num w:numId="7" w16cid:durableId="892959597">
    <w:abstractNumId w:val="23"/>
  </w:num>
  <w:num w:numId="8" w16cid:durableId="1316953303">
    <w:abstractNumId w:val="16"/>
  </w:num>
  <w:num w:numId="9" w16cid:durableId="513765662">
    <w:abstractNumId w:val="25"/>
  </w:num>
  <w:num w:numId="10" w16cid:durableId="1130975320">
    <w:abstractNumId w:val="8"/>
  </w:num>
  <w:num w:numId="11" w16cid:durableId="1722247895">
    <w:abstractNumId w:val="11"/>
  </w:num>
  <w:num w:numId="12" w16cid:durableId="1820803301">
    <w:abstractNumId w:val="21"/>
  </w:num>
  <w:num w:numId="13" w16cid:durableId="595677913">
    <w:abstractNumId w:val="14"/>
  </w:num>
  <w:num w:numId="14" w16cid:durableId="82537268">
    <w:abstractNumId w:val="1"/>
  </w:num>
  <w:num w:numId="15" w16cid:durableId="986275431">
    <w:abstractNumId w:val="24"/>
  </w:num>
  <w:num w:numId="16" w16cid:durableId="407532330">
    <w:abstractNumId w:val="15"/>
  </w:num>
  <w:num w:numId="17" w16cid:durableId="1229918200">
    <w:abstractNumId w:val="9"/>
  </w:num>
  <w:num w:numId="18" w16cid:durableId="1340279035">
    <w:abstractNumId w:val="13"/>
  </w:num>
  <w:num w:numId="19" w16cid:durableId="136191106">
    <w:abstractNumId w:val="17"/>
  </w:num>
  <w:num w:numId="20" w16cid:durableId="987246344">
    <w:abstractNumId w:val="6"/>
  </w:num>
  <w:num w:numId="21" w16cid:durableId="1236085314">
    <w:abstractNumId w:val="27"/>
  </w:num>
  <w:num w:numId="22" w16cid:durableId="1368264289">
    <w:abstractNumId w:val="20"/>
  </w:num>
  <w:num w:numId="23" w16cid:durableId="299967308">
    <w:abstractNumId w:val="22"/>
  </w:num>
  <w:num w:numId="24" w16cid:durableId="1491750553">
    <w:abstractNumId w:val="3"/>
  </w:num>
  <w:num w:numId="25" w16cid:durableId="1187867215">
    <w:abstractNumId w:val="5"/>
  </w:num>
  <w:num w:numId="26" w16cid:durableId="723720211">
    <w:abstractNumId w:val="12"/>
  </w:num>
  <w:num w:numId="27" w16cid:durableId="60637022">
    <w:abstractNumId w:val="19"/>
  </w:num>
  <w:num w:numId="28" w16cid:durableId="122692979">
    <w:abstractNumId w:val="26"/>
  </w:num>
  <w:num w:numId="29" w16cid:durableId="2082367054">
    <w:abstractNumId w:val="28"/>
  </w:num>
  <w:num w:numId="30" w16cid:durableId="805784574">
    <w:abstractNumId w:val="18"/>
  </w:num>
  <w:num w:numId="31" w16cid:durableId="209748174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67A"/>
    <w:rsid w:val="000017F7"/>
    <w:rsid w:val="00012111"/>
    <w:rsid w:val="0001596C"/>
    <w:rsid w:val="000217EA"/>
    <w:rsid w:val="00021BAB"/>
    <w:rsid w:val="000262FC"/>
    <w:rsid w:val="000351C8"/>
    <w:rsid w:val="00035B57"/>
    <w:rsid w:val="000375BC"/>
    <w:rsid w:val="00040A57"/>
    <w:rsid w:val="000433EA"/>
    <w:rsid w:val="0005205C"/>
    <w:rsid w:val="000545A3"/>
    <w:rsid w:val="000561ED"/>
    <w:rsid w:val="00057BF6"/>
    <w:rsid w:val="0006736C"/>
    <w:rsid w:val="00070042"/>
    <w:rsid w:val="00070957"/>
    <w:rsid w:val="00076AD8"/>
    <w:rsid w:val="00077346"/>
    <w:rsid w:val="00094A0C"/>
    <w:rsid w:val="000A01E9"/>
    <w:rsid w:val="000A1E11"/>
    <w:rsid w:val="000B4239"/>
    <w:rsid w:val="000B43F9"/>
    <w:rsid w:val="000C69F9"/>
    <w:rsid w:val="000D1CE7"/>
    <w:rsid w:val="000D3918"/>
    <w:rsid w:val="00106073"/>
    <w:rsid w:val="00117756"/>
    <w:rsid w:val="001238AA"/>
    <w:rsid w:val="001365DF"/>
    <w:rsid w:val="00141397"/>
    <w:rsid w:val="001526D5"/>
    <w:rsid w:val="00155B9F"/>
    <w:rsid w:val="00157316"/>
    <w:rsid w:val="00166A67"/>
    <w:rsid w:val="00194D4D"/>
    <w:rsid w:val="001B5187"/>
    <w:rsid w:val="001B5D81"/>
    <w:rsid w:val="001C29A0"/>
    <w:rsid w:val="001C4DB3"/>
    <w:rsid w:val="001C5BD5"/>
    <w:rsid w:val="001C61A3"/>
    <w:rsid w:val="001E05F3"/>
    <w:rsid w:val="001F1488"/>
    <w:rsid w:val="001F413E"/>
    <w:rsid w:val="0021666A"/>
    <w:rsid w:val="00266D64"/>
    <w:rsid w:val="00270F01"/>
    <w:rsid w:val="0027470A"/>
    <w:rsid w:val="00275AA3"/>
    <w:rsid w:val="00287565"/>
    <w:rsid w:val="002A6267"/>
    <w:rsid w:val="002B4F4A"/>
    <w:rsid w:val="002B6AA3"/>
    <w:rsid w:val="002C3255"/>
    <w:rsid w:val="002C5EAC"/>
    <w:rsid w:val="002D6DE4"/>
    <w:rsid w:val="002E12B2"/>
    <w:rsid w:val="002E46DE"/>
    <w:rsid w:val="002F3401"/>
    <w:rsid w:val="002F5CF4"/>
    <w:rsid w:val="002F7728"/>
    <w:rsid w:val="00312D74"/>
    <w:rsid w:val="00316B0D"/>
    <w:rsid w:val="003326A3"/>
    <w:rsid w:val="0034474B"/>
    <w:rsid w:val="0036407F"/>
    <w:rsid w:val="003813D8"/>
    <w:rsid w:val="00383081"/>
    <w:rsid w:val="003865F9"/>
    <w:rsid w:val="00386B8D"/>
    <w:rsid w:val="00391B35"/>
    <w:rsid w:val="003A0A1A"/>
    <w:rsid w:val="003A5CFE"/>
    <w:rsid w:val="003C0E8D"/>
    <w:rsid w:val="003C558F"/>
    <w:rsid w:val="003D057C"/>
    <w:rsid w:val="003D1E3A"/>
    <w:rsid w:val="003F4E9A"/>
    <w:rsid w:val="0040498E"/>
    <w:rsid w:val="00405030"/>
    <w:rsid w:val="00406D2B"/>
    <w:rsid w:val="0040787E"/>
    <w:rsid w:val="00412109"/>
    <w:rsid w:val="0041618E"/>
    <w:rsid w:val="00431D56"/>
    <w:rsid w:val="0043223D"/>
    <w:rsid w:val="00433238"/>
    <w:rsid w:val="00436053"/>
    <w:rsid w:val="004362B9"/>
    <w:rsid w:val="00445C1B"/>
    <w:rsid w:val="00446F10"/>
    <w:rsid w:val="00454E87"/>
    <w:rsid w:val="0045571F"/>
    <w:rsid w:val="00461A8D"/>
    <w:rsid w:val="00464906"/>
    <w:rsid w:val="00467B3F"/>
    <w:rsid w:val="004924D0"/>
    <w:rsid w:val="00495B61"/>
    <w:rsid w:val="004A6B7F"/>
    <w:rsid w:val="004A6C60"/>
    <w:rsid w:val="004B77AD"/>
    <w:rsid w:val="004C2361"/>
    <w:rsid w:val="004D1695"/>
    <w:rsid w:val="00510B47"/>
    <w:rsid w:val="00516685"/>
    <w:rsid w:val="005302A2"/>
    <w:rsid w:val="00534A44"/>
    <w:rsid w:val="00544A86"/>
    <w:rsid w:val="0055785C"/>
    <w:rsid w:val="00557FA1"/>
    <w:rsid w:val="00583270"/>
    <w:rsid w:val="005855AE"/>
    <w:rsid w:val="00594587"/>
    <w:rsid w:val="00596B88"/>
    <w:rsid w:val="005A4D96"/>
    <w:rsid w:val="005B12BA"/>
    <w:rsid w:val="005B19F4"/>
    <w:rsid w:val="005B36DD"/>
    <w:rsid w:val="005B53F4"/>
    <w:rsid w:val="005B74B6"/>
    <w:rsid w:val="005E08C4"/>
    <w:rsid w:val="005E0D31"/>
    <w:rsid w:val="005E2545"/>
    <w:rsid w:val="005E5719"/>
    <w:rsid w:val="0060002E"/>
    <w:rsid w:val="00602574"/>
    <w:rsid w:val="00603E0C"/>
    <w:rsid w:val="00604253"/>
    <w:rsid w:val="0061423F"/>
    <w:rsid w:val="0062656A"/>
    <w:rsid w:val="006653F4"/>
    <w:rsid w:val="0068595E"/>
    <w:rsid w:val="006A07FC"/>
    <w:rsid w:val="006A0F0B"/>
    <w:rsid w:val="006B26C2"/>
    <w:rsid w:val="006B277C"/>
    <w:rsid w:val="006D67A1"/>
    <w:rsid w:val="00704991"/>
    <w:rsid w:val="00721D02"/>
    <w:rsid w:val="00723ED8"/>
    <w:rsid w:val="00733508"/>
    <w:rsid w:val="007529B2"/>
    <w:rsid w:val="00756E33"/>
    <w:rsid w:val="007625A6"/>
    <w:rsid w:val="00765D98"/>
    <w:rsid w:val="00775735"/>
    <w:rsid w:val="007773D1"/>
    <w:rsid w:val="00783AFD"/>
    <w:rsid w:val="00787BC3"/>
    <w:rsid w:val="007909E4"/>
    <w:rsid w:val="007973CC"/>
    <w:rsid w:val="007A0519"/>
    <w:rsid w:val="007A302E"/>
    <w:rsid w:val="007A4231"/>
    <w:rsid w:val="007B0DD7"/>
    <w:rsid w:val="007F1E30"/>
    <w:rsid w:val="00803C6D"/>
    <w:rsid w:val="00820D04"/>
    <w:rsid w:val="0082329A"/>
    <w:rsid w:val="00832AC9"/>
    <w:rsid w:val="00840042"/>
    <w:rsid w:val="008518A0"/>
    <w:rsid w:val="00872655"/>
    <w:rsid w:val="00882EDC"/>
    <w:rsid w:val="008936EB"/>
    <w:rsid w:val="008A1A25"/>
    <w:rsid w:val="008B776B"/>
    <w:rsid w:val="008C23BF"/>
    <w:rsid w:val="008E1AC6"/>
    <w:rsid w:val="009075EB"/>
    <w:rsid w:val="00926012"/>
    <w:rsid w:val="00947CD7"/>
    <w:rsid w:val="00956EC8"/>
    <w:rsid w:val="009571FD"/>
    <w:rsid w:val="0095737B"/>
    <w:rsid w:val="00965725"/>
    <w:rsid w:val="00965880"/>
    <w:rsid w:val="0096756C"/>
    <w:rsid w:val="009801C3"/>
    <w:rsid w:val="00981123"/>
    <w:rsid w:val="009975E5"/>
    <w:rsid w:val="009A2823"/>
    <w:rsid w:val="009B05B4"/>
    <w:rsid w:val="009B6D85"/>
    <w:rsid w:val="009B7122"/>
    <w:rsid w:val="009C14B0"/>
    <w:rsid w:val="009C1CA3"/>
    <w:rsid w:val="009D6127"/>
    <w:rsid w:val="00A12BD2"/>
    <w:rsid w:val="00A203FC"/>
    <w:rsid w:val="00A2057C"/>
    <w:rsid w:val="00A41E5E"/>
    <w:rsid w:val="00A50989"/>
    <w:rsid w:val="00A64CAA"/>
    <w:rsid w:val="00A8140E"/>
    <w:rsid w:val="00A831A5"/>
    <w:rsid w:val="00A83C87"/>
    <w:rsid w:val="00A848DA"/>
    <w:rsid w:val="00A90A08"/>
    <w:rsid w:val="00A9232C"/>
    <w:rsid w:val="00A96F09"/>
    <w:rsid w:val="00AA3047"/>
    <w:rsid w:val="00AA6AD3"/>
    <w:rsid w:val="00AB06A6"/>
    <w:rsid w:val="00AB4680"/>
    <w:rsid w:val="00AC785F"/>
    <w:rsid w:val="00AD15CD"/>
    <w:rsid w:val="00AE6C13"/>
    <w:rsid w:val="00B17231"/>
    <w:rsid w:val="00B17B3B"/>
    <w:rsid w:val="00B22706"/>
    <w:rsid w:val="00B25FDD"/>
    <w:rsid w:val="00B34CB6"/>
    <w:rsid w:val="00B41657"/>
    <w:rsid w:val="00B57DC9"/>
    <w:rsid w:val="00B67830"/>
    <w:rsid w:val="00B67B2E"/>
    <w:rsid w:val="00B707A2"/>
    <w:rsid w:val="00B804B0"/>
    <w:rsid w:val="00B916BE"/>
    <w:rsid w:val="00BA0C9F"/>
    <w:rsid w:val="00BA0FDC"/>
    <w:rsid w:val="00BA2EAC"/>
    <w:rsid w:val="00BA64FD"/>
    <w:rsid w:val="00BA7A4C"/>
    <w:rsid w:val="00BB0124"/>
    <w:rsid w:val="00BD0EF6"/>
    <w:rsid w:val="00BD2A71"/>
    <w:rsid w:val="00BD54C7"/>
    <w:rsid w:val="00BE0AAD"/>
    <w:rsid w:val="00BE3307"/>
    <w:rsid w:val="00BE60EE"/>
    <w:rsid w:val="00BE713D"/>
    <w:rsid w:val="00C12D07"/>
    <w:rsid w:val="00C2129A"/>
    <w:rsid w:val="00C21305"/>
    <w:rsid w:val="00C214EF"/>
    <w:rsid w:val="00C30C5D"/>
    <w:rsid w:val="00C42A98"/>
    <w:rsid w:val="00C51BEC"/>
    <w:rsid w:val="00C53F7E"/>
    <w:rsid w:val="00C566C7"/>
    <w:rsid w:val="00C72984"/>
    <w:rsid w:val="00C830A4"/>
    <w:rsid w:val="00C958C8"/>
    <w:rsid w:val="00CB19B5"/>
    <w:rsid w:val="00CB235B"/>
    <w:rsid w:val="00CB7C7B"/>
    <w:rsid w:val="00CC1296"/>
    <w:rsid w:val="00CC3647"/>
    <w:rsid w:val="00CC6142"/>
    <w:rsid w:val="00CC73A0"/>
    <w:rsid w:val="00CC7953"/>
    <w:rsid w:val="00CD227A"/>
    <w:rsid w:val="00CD2BC9"/>
    <w:rsid w:val="00CD2C40"/>
    <w:rsid w:val="00CD34B1"/>
    <w:rsid w:val="00CD4481"/>
    <w:rsid w:val="00CD4D65"/>
    <w:rsid w:val="00CE1829"/>
    <w:rsid w:val="00CE568A"/>
    <w:rsid w:val="00CF0120"/>
    <w:rsid w:val="00CF5544"/>
    <w:rsid w:val="00D00C7B"/>
    <w:rsid w:val="00D0486D"/>
    <w:rsid w:val="00D060A8"/>
    <w:rsid w:val="00D1083A"/>
    <w:rsid w:val="00D21296"/>
    <w:rsid w:val="00D40255"/>
    <w:rsid w:val="00D47E2E"/>
    <w:rsid w:val="00D62406"/>
    <w:rsid w:val="00D776BA"/>
    <w:rsid w:val="00D91C24"/>
    <w:rsid w:val="00DA0C0E"/>
    <w:rsid w:val="00DA6761"/>
    <w:rsid w:val="00DB3370"/>
    <w:rsid w:val="00DC3591"/>
    <w:rsid w:val="00DE51F6"/>
    <w:rsid w:val="00DF3E43"/>
    <w:rsid w:val="00E03CCC"/>
    <w:rsid w:val="00E05CA4"/>
    <w:rsid w:val="00E134B8"/>
    <w:rsid w:val="00E156C3"/>
    <w:rsid w:val="00E33E44"/>
    <w:rsid w:val="00E36D12"/>
    <w:rsid w:val="00E3755C"/>
    <w:rsid w:val="00E42CA5"/>
    <w:rsid w:val="00E57CEA"/>
    <w:rsid w:val="00E614B2"/>
    <w:rsid w:val="00E73118"/>
    <w:rsid w:val="00E757CA"/>
    <w:rsid w:val="00E8555D"/>
    <w:rsid w:val="00E8766F"/>
    <w:rsid w:val="00EA2658"/>
    <w:rsid w:val="00EA40B0"/>
    <w:rsid w:val="00EB32AE"/>
    <w:rsid w:val="00EC20E8"/>
    <w:rsid w:val="00ED01FD"/>
    <w:rsid w:val="00EF6666"/>
    <w:rsid w:val="00EF6BA4"/>
    <w:rsid w:val="00F017A9"/>
    <w:rsid w:val="00F03963"/>
    <w:rsid w:val="00F15EF2"/>
    <w:rsid w:val="00F20CDC"/>
    <w:rsid w:val="00F24506"/>
    <w:rsid w:val="00F24836"/>
    <w:rsid w:val="00F26EE1"/>
    <w:rsid w:val="00F32690"/>
    <w:rsid w:val="00F34BDF"/>
    <w:rsid w:val="00F367DC"/>
    <w:rsid w:val="00F6189F"/>
    <w:rsid w:val="00F62CC8"/>
    <w:rsid w:val="00F63A78"/>
    <w:rsid w:val="00F64093"/>
    <w:rsid w:val="00F64FCE"/>
    <w:rsid w:val="00F72CBC"/>
    <w:rsid w:val="00FA71AE"/>
    <w:rsid w:val="00FB1B03"/>
    <w:rsid w:val="00FB6C3C"/>
    <w:rsid w:val="00FB70D3"/>
    <w:rsid w:val="00FE5249"/>
    <w:rsid w:val="00FF1F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EC9B3AAA-C77A-4DF3-845E-F536D23AE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dcmitype/"/>
    <ds:schemaRef ds:uri="http://schemas.openxmlformats.org/package/2006/metadata/core-properties"/>
    <ds:schemaRef ds:uri="9056d983-1374-4724-9f8d-2ef5b64379db"/>
  </ds:schemaRefs>
</ds:datastoreItem>
</file>

<file path=customXml/itemProps3.xml><?xml version="1.0" encoding="utf-8"?>
<ds:datastoreItem xmlns:ds="http://schemas.openxmlformats.org/officeDocument/2006/customXml" ds:itemID="{C9064ADE-7BCE-4F0F-BFF8-4F65AB45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16</Pages>
  <Words>7546</Words>
  <Characters>39761</Characters>
  <Application>Microsoft Office Word</Application>
  <DocSecurity>0</DocSecurity>
  <Lines>1016</Lines>
  <Paragraphs>380</Paragraphs>
  <ScaleCrop>false</ScaleCrop>
  <Company/>
  <LinksUpToDate>false</LinksUpToDate>
  <CharactersWithSpaces>46959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322</cp:revision>
  <dcterms:created xsi:type="dcterms:W3CDTF">2025-03-03T22:44:00Z</dcterms:created>
  <dcterms:modified xsi:type="dcterms:W3CDTF">2026-04-13T00:29:00Z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